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粗黑宋简体" w:hAnsi="方正粗黑宋简体" w:eastAsia="方正粗黑宋简体" w:cs="宋体"/>
          <w:b/>
          <w:bCs/>
          <w:sz w:val="44"/>
          <w:szCs w:val="44"/>
          <w:highlight w:val="none"/>
          <w:lang w:val="en-US" w:eastAsia="zh-CN"/>
        </w:rPr>
      </w:pPr>
      <w:r>
        <w:rPr>
          <w:rFonts w:ascii="方正粗黑宋简体" w:hAnsi="方正粗黑宋简体" w:eastAsia="方正粗黑宋简体" w:cs="宋体"/>
          <w:b/>
          <w:bCs/>
          <w:sz w:val="44"/>
          <w:szCs w:val="44"/>
          <w:highlight w:val="none"/>
        </w:rPr>
        <w:t xml:space="preserve"> </w:t>
      </w:r>
      <w:r>
        <w:rPr>
          <w:rFonts w:hint="eastAsia" w:ascii="方正粗黑宋简体" w:hAnsi="方正粗黑宋简体" w:eastAsia="方正粗黑宋简体" w:cs="宋体"/>
          <w:b/>
          <w:bCs/>
          <w:sz w:val="44"/>
          <w:szCs w:val="44"/>
          <w:highlight w:val="none"/>
        </w:rPr>
        <w:t>安徽交运集团</w:t>
      </w:r>
      <w:r>
        <w:rPr>
          <w:rFonts w:hint="eastAsia" w:ascii="方正粗黑宋简体" w:hAnsi="方正粗黑宋简体" w:eastAsia="方正粗黑宋简体" w:cs="宋体"/>
          <w:b/>
          <w:bCs/>
          <w:sz w:val="44"/>
          <w:szCs w:val="44"/>
          <w:highlight w:val="none"/>
          <w:lang w:val="en-US" w:eastAsia="zh-CN"/>
        </w:rPr>
        <w:t>汽车销售有限公司</w:t>
      </w:r>
    </w:p>
    <w:p>
      <w:pPr>
        <w:widowControl/>
        <w:jc w:val="center"/>
        <w:rPr>
          <w:rFonts w:ascii="Times New Roman" w:hAnsi="Times New Roman" w:cs="Times New Roman"/>
          <w:b/>
          <w:bCs/>
          <w:color w:val="FF0000"/>
          <w:sz w:val="44"/>
          <w:szCs w:val="44"/>
          <w:highlight w:val="none"/>
        </w:rPr>
      </w:pPr>
      <w:r>
        <w:rPr>
          <w:rFonts w:hint="eastAsia" w:ascii="方正粗黑宋简体" w:hAnsi="方正粗黑宋简体" w:eastAsia="方正粗黑宋简体" w:cs="宋体"/>
          <w:b/>
          <w:bCs/>
          <w:sz w:val="44"/>
          <w:szCs w:val="44"/>
          <w:highlight w:val="none"/>
        </w:rPr>
        <w:t>安庆望江车辆磷酸铁锂动力电池更换项目</w:t>
      </w:r>
    </w:p>
    <w:p>
      <w:pPr>
        <w:spacing w:line="540" w:lineRule="exact"/>
        <w:ind w:firstLine="420"/>
        <w:rPr>
          <w:rFonts w:ascii="Times New Roman" w:hAnsi="Times New Roman" w:cs="Times New Roman"/>
          <w:szCs w:val="21"/>
          <w:highlight w:val="none"/>
        </w:rPr>
      </w:pPr>
    </w:p>
    <w:p>
      <w:pPr>
        <w:pStyle w:val="6"/>
        <w:rPr>
          <w:rFonts w:ascii="Times New Roman" w:hAnsi="Times New Roman" w:cs="Times New Roman"/>
          <w:szCs w:val="21"/>
          <w:highlight w:val="none"/>
        </w:rPr>
      </w:pPr>
    </w:p>
    <w:p>
      <w:pPr>
        <w:pStyle w:val="6"/>
        <w:rPr>
          <w:rFonts w:ascii="Times New Roman" w:hAnsi="Times New Roman" w:cs="Times New Roman"/>
          <w:szCs w:val="21"/>
          <w:highlight w:val="none"/>
        </w:rPr>
      </w:pPr>
    </w:p>
    <w:p>
      <w:pPr>
        <w:pStyle w:val="6"/>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jc w:val="center"/>
        <w:rPr>
          <w:rFonts w:ascii="Times New Roman" w:hAnsi="Times New Roman" w:eastAsia="黑体" w:cs="Times New Roman"/>
          <w:sz w:val="72"/>
          <w:szCs w:val="72"/>
          <w:highlight w:val="none"/>
        </w:rPr>
      </w:pPr>
      <w:r>
        <w:rPr>
          <w:rFonts w:ascii="Times New Roman" w:hAnsi="Times New Roman" w:eastAsia="黑体" w:cs="Times New Roman"/>
          <w:sz w:val="72"/>
          <w:szCs w:val="72"/>
          <w:highlight w:val="none"/>
        </w:rPr>
        <w:t>询比文件</w:t>
      </w: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640"/>
        <w:rPr>
          <w:rFonts w:ascii="Times New Roman" w:hAnsi="Times New Roman" w:eastAsia="黑体" w:cs="Times New Roman"/>
          <w:sz w:val="32"/>
          <w:szCs w:val="32"/>
          <w:highlight w:val="none"/>
        </w:rPr>
      </w:pPr>
    </w:p>
    <w:p>
      <w:pPr>
        <w:spacing w:line="540" w:lineRule="exact"/>
        <w:ind w:left="1896" w:leftChars="903"/>
        <w:rPr>
          <w:rFonts w:ascii="Times New Roman" w:hAnsi="Times New Roman" w:cs="Times New Roman"/>
          <w:szCs w:val="21"/>
          <w:highlight w:val="none"/>
        </w:rPr>
      </w:pPr>
    </w:p>
    <w:p>
      <w:pPr>
        <w:snapToGrid w:val="0"/>
        <w:ind w:firstLine="960" w:firstLineChars="300"/>
        <w:rPr>
          <w:rFonts w:ascii="Times New Roman" w:hAnsi="Times New Roman" w:cs="Times New Roman"/>
          <w:sz w:val="32"/>
          <w:szCs w:val="32"/>
          <w:highlight w:val="none"/>
        </w:rPr>
      </w:pPr>
      <w:r>
        <w:rPr>
          <w:rFonts w:hint="eastAsia" w:ascii="Times New Roman" w:hAnsi="Times New Roman" w:eastAsia="黑体" w:cs="Times New Roman"/>
          <w:sz w:val="32"/>
          <w:szCs w:val="32"/>
          <w:highlight w:val="none"/>
          <w:lang w:val="en-US" w:eastAsia="zh-CN"/>
        </w:rPr>
        <w:t>采购</w:t>
      </w:r>
      <w:r>
        <w:rPr>
          <w:rFonts w:ascii="Times New Roman" w:hAnsi="Times New Roman" w:eastAsia="黑体" w:cs="Times New Roman"/>
          <w:sz w:val="32"/>
          <w:szCs w:val="32"/>
          <w:highlight w:val="none"/>
        </w:rPr>
        <w:t>人：</w:t>
      </w:r>
      <w:r>
        <w:rPr>
          <w:rFonts w:hint="eastAsia" w:ascii="Times New Roman" w:hAnsi="Times New Roman" w:eastAsia="黑体" w:cs="Times New Roman"/>
          <w:sz w:val="32"/>
          <w:szCs w:val="32"/>
          <w:highlight w:val="none"/>
          <w:u w:val="single"/>
        </w:rPr>
        <w:t>安徽交运集团汽车销售有限公司</w:t>
      </w:r>
    </w:p>
    <w:p>
      <w:pPr>
        <w:snapToGrid w:val="0"/>
        <w:ind w:left="1896" w:leftChars="903"/>
        <w:rPr>
          <w:rFonts w:ascii="Times New Roman" w:hAnsi="Times New Roman" w:cs="Times New Roman"/>
          <w:sz w:val="32"/>
          <w:szCs w:val="32"/>
          <w:highlight w:val="none"/>
        </w:rPr>
      </w:pPr>
    </w:p>
    <w:p>
      <w:pPr>
        <w:snapToGrid w:val="0"/>
        <w:ind w:firstLine="960" w:firstLineChars="300"/>
        <w:rPr>
          <w:rFonts w:ascii="Times New Roman" w:hAnsi="Times New Roman" w:cs="Times New Roman"/>
          <w:sz w:val="32"/>
          <w:szCs w:val="32"/>
          <w:highlight w:val="none"/>
        </w:rPr>
      </w:pPr>
      <w:r>
        <w:rPr>
          <w:rFonts w:ascii="Times New Roman" w:hAnsi="Times New Roman" w:eastAsia="黑体" w:cs="Times New Roman"/>
          <w:sz w:val="32"/>
          <w:szCs w:val="32"/>
          <w:highlight w:val="none"/>
        </w:rPr>
        <w:t>日</w:t>
      </w:r>
      <w:r>
        <w:rPr>
          <w:rFonts w:hint="eastAsia" w:ascii="Times New Roman" w:hAnsi="Times New Roman" w:eastAsia="黑体" w:cs="Times New Roman"/>
          <w:sz w:val="32"/>
          <w:szCs w:val="32"/>
          <w:highlight w:val="none"/>
        </w:rPr>
        <w:t xml:space="preserve">  </w:t>
      </w:r>
      <w:r>
        <w:rPr>
          <w:rFonts w:ascii="Times New Roman" w:hAnsi="Times New Roman" w:eastAsia="黑体" w:cs="Times New Roman"/>
          <w:sz w:val="32"/>
          <w:szCs w:val="32"/>
          <w:highlight w:val="none"/>
        </w:rPr>
        <w:t>期</w:t>
      </w:r>
      <w:r>
        <w:rPr>
          <w:rFonts w:ascii="Times New Roman" w:hAnsi="Times New Roman" w:cs="Times New Roman"/>
          <w:sz w:val="32"/>
          <w:szCs w:val="32"/>
          <w:highlight w:val="none"/>
        </w:rPr>
        <w:t>：</w:t>
      </w:r>
      <w:r>
        <w:rPr>
          <w:rFonts w:hint="eastAsia" w:ascii="Times New Roman" w:hAnsi="Times New Roman" w:cs="Times New Roman"/>
          <w:sz w:val="32"/>
          <w:szCs w:val="32"/>
          <w:highlight w:val="none"/>
          <w:u w:val="single"/>
          <w:lang w:val="en-US" w:eastAsia="zh-CN"/>
        </w:rPr>
        <w:t xml:space="preserve">  </w:t>
      </w:r>
      <w:r>
        <w:rPr>
          <w:rFonts w:hint="eastAsia" w:ascii="Times New Roman" w:hAnsi="Times New Roman" w:eastAsia="黑体" w:cs="Times New Roman"/>
          <w:sz w:val="32"/>
          <w:szCs w:val="32"/>
          <w:highlight w:val="none"/>
          <w:u w:val="single"/>
        </w:rPr>
        <w:t>202</w:t>
      </w:r>
      <w:r>
        <w:rPr>
          <w:rFonts w:hint="eastAsia" w:ascii="Times New Roman" w:hAnsi="Times New Roman" w:eastAsia="黑体" w:cs="Times New Roman"/>
          <w:sz w:val="32"/>
          <w:szCs w:val="32"/>
          <w:highlight w:val="none"/>
          <w:u w:val="single"/>
          <w:lang w:val="en-US" w:eastAsia="zh-CN"/>
        </w:rPr>
        <w:t xml:space="preserve">4  </w:t>
      </w:r>
      <w:r>
        <w:rPr>
          <w:rFonts w:ascii="Times New Roman" w:hAnsi="Times New Roman" w:cs="Times New Roman"/>
          <w:sz w:val="32"/>
          <w:szCs w:val="32"/>
          <w:highlight w:val="none"/>
        </w:rPr>
        <w:t>年</w:t>
      </w:r>
      <w:r>
        <w:rPr>
          <w:rFonts w:hint="eastAsia" w:ascii="Times New Roman" w:hAnsi="Times New Roman" w:cs="Times New Roman"/>
          <w:sz w:val="32"/>
          <w:szCs w:val="32"/>
          <w:highlight w:val="none"/>
          <w:u w:val="single"/>
        </w:rPr>
        <w:t xml:space="preserve">  </w:t>
      </w:r>
      <w:r>
        <w:rPr>
          <w:rFonts w:hint="eastAsia" w:ascii="Times New Roman" w:hAnsi="Times New Roman" w:cs="Times New Roman"/>
          <w:sz w:val="32"/>
          <w:szCs w:val="32"/>
          <w:highlight w:val="none"/>
          <w:u w:val="single"/>
          <w:lang w:val="en-US" w:eastAsia="zh-CN"/>
        </w:rPr>
        <w:t xml:space="preserve"> </w:t>
      </w:r>
      <w:r>
        <w:rPr>
          <w:rFonts w:hint="eastAsia" w:ascii="Times New Roman" w:hAnsi="Times New Roman" w:cs="Times New Roman"/>
          <w:sz w:val="32"/>
          <w:szCs w:val="32"/>
          <w:highlight w:val="none"/>
          <w:u w:val="single"/>
        </w:rPr>
        <w:t>1</w:t>
      </w:r>
      <w:r>
        <w:rPr>
          <w:rFonts w:hint="eastAsia" w:ascii="Times New Roman" w:hAnsi="Times New Roman" w:cs="Times New Roman"/>
          <w:sz w:val="32"/>
          <w:szCs w:val="32"/>
          <w:highlight w:val="none"/>
          <w:u w:val="single"/>
          <w:lang w:val="en-US" w:eastAsia="zh-CN"/>
        </w:rPr>
        <w:t xml:space="preserve">  </w:t>
      </w:r>
      <w:r>
        <w:rPr>
          <w:rFonts w:hint="eastAsia" w:ascii="Times New Roman" w:hAnsi="Times New Roman" w:cs="Times New Roman"/>
          <w:sz w:val="32"/>
          <w:szCs w:val="32"/>
          <w:highlight w:val="none"/>
          <w:u w:val="single"/>
        </w:rPr>
        <w:t xml:space="preserve"> </w:t>
      </w:r>
      <w:r>
        <w:rPr>
          <w:rFonts w:ascii="Times New Roman" w:hAnsi="Times New Roman" w:cs="Times New Roman"/>
          <w:sz w:val="32"/>
          <w:szCs w:val="32"/>
          <w:highlight w:val="none"/>
        </w:rPr>
        <w:t>月</w:t>
      </w:r>
      <w:r>
        <w:rPr>
          <w:rFonts w:hint="eastAsia" w:ascii="Times New Roman" w:hAnsi="Times New Roman" w:cs="Times New Roman"/>
          <w:sz w:val="32"/>
          <w:szCs w:val="32"/>
          <w:highlight w:val="none"/>
          <w:u w:val="single"/>
        </w:rPr>
        <w:t xml:space="preserve">  </w:t>
      </w:r>
      <w:r>
        <w:rPr>
          <w:rFonts w:hint="eastAsia" w:ascii="Times New Roman" w:hAnsi="Times New Roman" w:cs="Times New Roman"/>
          <w:sz w:val="32"/>
          <w:szCs w:val="32"/>
          <w:highlight w:val="none"/>
          <w:u w:val="single"/>
          <w:lang w:val="en-US" w:eastAsia="zh-CN"/>
        </w:rPr>
        <w:t xml:space="preserve"> 4  </w:t>
      </w:r>
      <w:r>
        <w:rPr>
          <w:rFonts w:ascii="Times New Roman" w:hAnsi="Times New Roman" w:cs="Times New Roman"/>
          <w:sz w:val="32"/>
          <w:szCs w:val="32"/>
          <w:highlight w:val="none"/>
          <w:u w:val="single"/>
        </w:rPr>
        <w:t xml:space="preserve"> </w:t>
      </w:r>
      <w:r>
        <w:rPr>
          <w:rFonts w:ascii="Times New Roman" w:hAnsi="Times New Roman" w:cs="Times New Roman"/>
          <w:sz w:val="32"/>
          <w:szCs w:val="32"/>
          <w:highlight w:val="none"/>
        </w:rPr>
        <w:t>日</w:t>
      </w:r>
    </w:p>
    <w:p>
      <w:pPr>
        <w:ind w:left="1896" w:leftChars="903"/>
        <w:rPr>
          <w:rFonts w:ascii="Times New Roman" w:hAnsi="Times New Roman" w:eastAsia="宋体" w:cs="Times New Roman"/>
          <w:sz w:val="24"/>
          <w:highlight w:val="none"/>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highlight w:val="none"/>
        </w:rPr>
        <w:id w:val="310290315"/>
        <w:docPartObj>
          <w:docPartGallery w:val="Table of Contents"/>
          <w:docPartUnique/>
        </w:docPartObj>
      </w:sdtPr>
      <w:sdtEndPr>
        <w:rPr>
          <w:rFonts w:hint="eastAsia" w:asciiTheme="minorHAnsi" w:hAnsiTheme="minorHAnsi" w:eastAsiaTheme="minorEastAsia" w:cstheme="minorBidi"/>
          <w:kern w:val="0"/>
          <w:sz w:val="20"/>
          <w:szCs w:val="20"/>
          <w:highlight w:val="none"/>
        </w:rPr>
      </w:sdtEndPr>
      <w:sdtContent>
        <w:p>
          <w:pPr>
            <w:jc w:val="center"/>
            <w:rPr>
              <w:rFonts w:ascii="黑体" w:hAnsi="黑体" w:eastAsia="黑体" w:cs="黑体"/>
              <w:sz w:val="44"/>
              <w:szCs w:val="44"/>
              <w:highlight w:val="none"/>
            </w:rPr>
          </w:pPr>
          <w:bookmarkStart w:id="0" w:name="_Toc13148_WPSOffice_Type1"/>
        </w:p>
        <w:p>
          <w:pPr>
            <w:jc w:val="center"/>
            <w:rPr>
              <w:rFonts w:hint="eastAsia" w:ascii="黑体" w:hAnsi="黑体" w:eastAsia="黑体" w:cs="黑体"/>
              <w:sz w:val="44"/>
              <w:szCs w:val="44"/>
              <w:highlight w:val="none"/>
            </w:rPr>
          </w:pPr>
          <w:r>
            <w:rPr>
              <w:rFonts w:hint="eastAsia" w:ascii="黑体" w:hAnsi="黑体" w:eastAsia="黑体" w:cs="黑体"/>
              <w:sz w:val="44"/>
              <w:szCs w:val="44"/>
              <w:highlight w:val="none"/>
            </w:rPr>
            <w:t>目 录</w:t>
          </w:r>
        </w:p>
        <w:p>
          <w:pPr>
            <w:jc w:val="center"/>
            <w:rPr>
              <w:rFonts w:hint="eastAsia" w:ascii="黑体" w:hAnsi="黑体" w:eastAsia="黑体" w:cs="黑体"/>
              <w:sz w:val="44"/>
              <w:szCs w:val="44"/>
              <w:highlight w:val="none"/>
            </w:rPr>
          </w:pPr>
        </w:p>
        <w:p>
          <w:pPr>
            <w:pStyle w:val="6"/>
            <w:rPr>
              <w:highlight w:val="none"/>
            </w:rPr>
          </w:pPr>
        </w:p>
        <w:p>
          <w:pPr>
            <w:pStyle w:val="21"/>
            <w:tabs>
              <w:tab w:val="right" w:leader="dot" w:pos="8312"/>
            </w:tabs>
            <w:rPr>
              <w:rFonts w:ascii="Times New Roman" w:hAnsi="Times New Roman" w:cs="Times New Roman"/>
              <w:sz w:val="28"/>
              <w:szCs w:val="28"/>
              <w:highlight w:val="none"/>
            </w:rPr>
          </w:pPr>
          <w:r>
            <w:rPr>
              <w:highlight w:val="none"/>
            </w:rPr>
            <w:fldChar w:fldCharType="begin"/>
          </w:r>
          <w:r>
            <w:rPr>
              <w:highlight w:val="none"/>
            </w:rPr>
            <w:instrText xml:space="preserve"> HYPERLINK \l "_Toc6425_WPSOffice_Level1" </w:instrText>
          </w:r>
          <w:r>
            <w:rPr>
              <w:highlight w:val="none"/>
            </w:rPr>
            <w:fldChar w:fldCharType="separate"/>
          </w:r>
          <w:sdt>
            <w:sdtPr>
              <w:rPr>
                <w:rFonts w:ascii="Times New Roman" w:hAnsi="Times New Roman" w:cs="Times New Roman"/>
                <w:kern w:val="2"/>
                <w:sz w:val="28"/>
                <w:szCs w:val="28"/>
                <w:highlight w:val="none"/>
              </w:rPr>
              <w:id w:val="147481990"/>
              <w:placeholder>
                <w:docPart w:val="{d5a7d01c-bc8a-4903-8aba-701e891a5275}"/>
              </w:placeholder>
            </w:sdtPr>
            <w:sdtEndPr>
              <w:rPr>
                <w:rFonts w:ascii="Times New Roman" w:hAnsi="Times New Roman" w:cs="Times New Roman"/>
                <w:kern w:val="2"/>
                <w:sz w:val="28"/>
                <w:szCs w:val="28"/>
                <w:highlight w:val="none"/>
              </w:rPr>
            </w:sdtEndPr>
            <w:sdtContent>
              <w:r>
                <w:rPr>
                  <w:rFonts w:ascii="Times New Roman" w:hAnsi="Times New Roman" w:eastAsia="宋体" w:cs="Times New Roman"/>
                  <w:sz w:val="28"/>
                  <w:szCs w:val="28"/>
                  <w:highlight w:val="none"/>
                </w:rPr>
                <w:t>第一章</w:t>
              </w:r>
              <w:r>
                <w:rPr>
                  <w:rFonts w:hint="eastAsia" w:ascii="Times New Roman" w:hAnsi="Times New Roman" w:eastAsia="宋体" w:cs="Times New Roman"/>
                  <w:sz w:val="28"/>
                  <w:szCs w:val="28"/>
                  <w:highlight w:val="none"/>
                </w:rPr>
                <w:t xml:space="preserve"> </w:t>
              </w:r>
              <w:r>
                <w:rPr>
                  <w:rFonts w:ascii="Times New Roman" w:hAnsi="Times New Roman" w:eastAsia="宋体" w:cs="Times New Roman"/>
                  <w:sz w:val="28"/>
                  <w:szCs w:val="28"/>
                  <w:highlight w:val="none"/>
                </w:rPr>
                <w:t>采购公告</w:t>
              </w:r>
            </w:sdtContent>
          </w:sdt>
          <w:r>
            <w:rPr>
              <w:highlight w:val="none"/>
            </w:rPr>
            <w:fldChar w:fldCharType="end"/>
          </w:r>
        </w:p>
        <w:p>
          <w:pPr>
            <w:pStyle w:val="21"/>
            <w:tabs>
              <w:tab w:val="right" w:leader="dot" w:pos="8312"/>
            </w:tabs>
            <w:rPr>
              <w:rFonts w:ascii="Times New Roman" w:hAnsi="Times New Roman" w:cs="Times New Roman"/>
              <w:sz w:val="28"/>
              <w:szCs w:val="28"/>
              <w:highlight w:val="none"/>
            </w:rPr>
          </w:pPr>
          <w:r>
            <w:rPr>
              <w:highlight w:val="none"/>
            </w:rPr>
            <w:fldChar w:fldCharType="begin"/>
          </w:r>
          <w:r>
            <w:rPr>
              <w:highlight w:val="none"/>
            </w:rPr>
            <w:instrText xml:space="preserve"> HYPERLINK \l "_Toc3807_WPSOffice_Level1" </w:instrText>
          </w:r>
          <w:r>
            <w:rPr>
              <w:highlight w:val="none"/>
            </w:rPr>
            <w:fldChar w:fldCharType="separate"/>
          </w:r>
          <w:sdt>
            <w:sdtPr>
              <w:rPr>
                <w:rFonts w:ascii="Times New Roman" w:hAnsi="Times New Roman" w:cs="Times New Roman"/>
                <w:kern w:val="2"/>
                <w:sz w:val="28"/>
                <w:szCs w:val="28"/>
                <w:highlight w:val="none"/>
              </w:rPr>
              <w:id w:val="-942303627"/>
              <w:placeholder>
                <w:docPart w:val="{6b17f531-b584-4d6f-a472-009dcc569c66}"/>
              </w:placeholder>
            </w:sdtPr>
            <w:sdtEndPr>
              <w:rPr>
                <w:rFonts w:ascii="Times New Roman" w:hAnsi="Times New Roman" w:cs="Times New Roman"/>
                <w:kern w:val="2"/>
                <w:sz w:val="28"/>
                <w:szCs w:val="28"/>
                <w:highlight w:val="none"/>
              </w:rPr>
            </w:sdtEndPr>
            <w:sdtContent>
              <w:r>
                <w:rPr>
                  <w:rFonts w:ascii="Times New Roman" w:hAnsi="Times New Roman" w:eastAsia="宋体" w:cs="Times New Roman"/>
                  <w:sz w:val="28"/>
                  <w:szCs w:val="28"/>
                  <w:highlight w:val="none"/>
                </w:rPr>
                <w:t>第二章</w:t>
              </w:r>
              <w:r>
                <w:rPr>
                  <w:rFonts w:hint="eastAsia" w:ascii="Times New Roman" w:hAnsi="Times New Roman" w:eastAsia="宋体" w:cs="Times New Roman"/>
                  <w:sz w:val="28"/>
                  <w:szCs w:val="28"/>
                  <w:highlight w:val="none"/>
                </w:rPr>
                <w:t xml:space="preserve"> </w:t>
              </w:r>
              <w:r>
                <w:rPr>
                  <w:rFonts w:ascii="Times New Roman" w:hAnsi="Times New Roman" w:eastAsia="宋体" w:cs="Times New Roman"/>
                  <w:sz w:val="28"/>
                  <w:szCs w:val="28"/>
                  <w:highlight w:val="none"/>
                </w:rPr>
                <w:t>供应商须知</w:t>
              </w:r>
            </w:sdtContent>
          </w:sdt>
          <w:r>
            <w:rPr>
              <w:highlight w:val="none"/>
            </w:rPr>
            <w:fldChar w:fldCharType="end"/>
          </w:r>
        </w:p>
        <w:p>
          <w:pPr>
            <w:pStyle w:val="21"/>
            <w:tabs>
              <w:tab w:val="right" w:leader="dot" w:pos="8312"/>
            </w:tabs>
            <w:rPr>
              <w:rFonts w:ascii="Times New Roman" w:hAnsi="Times New Roman" w:cs="Times New Roman"/>
              <w:sz w:val="28"/>
              <w:szCs w:val="28"/>
              <w:highlight w:val="none"/>
            </w:rPr>
          </w:pPr>
          <w:r>
            <w:rPr>
              <w:highlight w:val="none"/>
            </w:rPr>
            <w:fldChar w:fldCharType="begin"/>
          </w:r>
          <w:r>
            <w:rPr>
              <w:highlight w:val="none"/>
            </w:rPr>
            <w:instrText xml:space="preserve"> HYPERLINK \l "_Toc18182_WPSOffice_Level1" </w:instrText>
          </w:r>
          <w:r>
            <w:rPr>
              <w:highlight w:val="none"/>
            </w:rPr>
            <w:fldChar w:fldCharType="separate"/>
          </w:r>
          <w:sdt>
            <w:sdtPr>
              <w:rPr>
                <w:rFonts w:ascii="Times New Roman" w:hAnsi="Times New Roman" w:cs="Times New Roman"/>
                <w:kern w:val="2"/>
                <w:sz w:val="28"/>
                <w:szCs w:val="28"/>
                <w:highlight w:val="none"/>
              </w:rPr>
              <w:id w:val="-135639989"/>
              <w:placeholder>
                <w:docPart w:val="{eca555e5-0fc7-432f-83bf-ea87e5ca5b0a}"/>
              </w:placeholder>
            </w:sdtPr>
            <w:sdtEndPr>
              <w:rPr>
                <w:rFonts w:ascii="Times New Roman" w:hAnsi="Times New Roman" w:cs="Times New Roman"/>
                <w:kern w:val="2"/>
                <w:sz w:val="28"/>
                <w:szCs w:val="28"/>
                <w:highlight w:val="none"/>
              </w:rPr>
            </w:sdtEndPr>
            <w:sdtContent>
              <w:r>
                <w:rPr>
                  <w:rFonts w:ascii="Times New Roman" w:hAnsi="Times New Roman" w:eastAsia="宋体" w:cs="Times New Roman"/>
                  <w:sz w:val="28"/>
                  <w:szCs w:val="28"/>
                  <w:highlight w:val="none"/>
                </w:rPr>
                <w:t>第三章</w:t>
              </w:r>
              <w:r>
                <w:rPr>
                  <w:rFonts w:hint="eastAsia" w:ascii="Times New Roman" w:hAnsi="Times New Roman" w:eastAsia="宋体" w:cs="Times New Roman"/>
                  <w:sz w:val="28"/>
                  <w:szCs w:val="28"/>
                  <w:highlight w:val="none"/>
                </w:rPr>
                <w:t xml:space="preserve"> </w:t>
              </w:r>
              <w:r>
                <w:rPr>
                  <w:rFonts w:ascii="Times New Roman" w:hAnsi="Times New Roman" w:eastAsia="宋体" w:cs="Times New Roman"/>
                  <w:sz w:val="28"/>
                  <w:szCs w:val="28"/>
                  <w:highlight w:val="none"/>
                </w:rPr>
                <w:t>评审办法</w:t>
              </w:r>
            </w:sdtContent>
          </w:sdt>
          <w:r>
            <w:rPr>
              <w:highlight w:val="none"/>
            </w:rPr>
            <w:fldChar w:fldCharType="end"/>
          </w:r>
        </w:p>
        <w:p>
          <w:pPr>
            <w:pStyle w:val="21"/>
            <w:tabs>
              <w:tab w:val="right" w:leader="dot" w:pos="8312"/>
            </w:tabs>
            <w:rPr>
              <w:rFonts w:ascii="Times New Roman" w:hAnsi="Times New Roman" w:cs="Times New Roman"/>
              <w:sz w:val="28"/>
              <w:szCs w:val="28"/>
              <w:highlight w:val="none"/>
            </w:rPr>
          </w:pPr>
          <w:r>
            <w:rPr>
              <w:highlight w:val="none"/>
            </w:rPr>
            <w:fldChar w:fldCharType="begin"/>
          </w:r>
          <w:r>
            <w:rPr>
              <w:highlight w:val="none"/>
            </w:rPr>
            <w:instrText xml:space="preserve"> HYPERLINK \l "_Toc10990_WPSOffice_Level1" </w:instrText>
          </w:r>
          <w:r>
            <w:rPr>
              <w:highlight w:val="none"/>
            </w:rPr>
            <w:fldChar w:fldCharType="separate"/>
          </w:r>
          <w:sdt>
            <w:sdtPr>
              <w:rPr>
                <w:rFonts w:ascii="Times New Roman" w:hAnsi="Times New Roman" w:cs="Times New Roman"/>
                <w:kern w:val="2"/>
                <w:sz w:val="28"/>
                <w:szCs w:val="28"/>
                <w:highlight w:val="none"/>
              </w:rPr>
              <w:id w:val="-433977322"/>
            </w:sdtPr>
            <w:sdtEndPr>
              <w:rPr>
                <w:rFonts w:ascii="Times New Roman" w:hAnsi="Times New Roman" w:cs="Times New Roman"/>
                <w:kern w:val="2"/>
                <w:sz w:val="28"/>
                <w:szCs w:val="28"/>
                <w:highlight w:val="none"/>
              </w:rPr>
            </w:sdtEndPr>
            <w:sdtContent>
              <w:r>
                <w:rPr>
                  <w:rFonts w:ascii="Times New Roman" w:hAnsi="Times New Roman" w:eastAsia="宋体" w:cs="Times New Roman"/>
                  <w:sz w:val="28"/>
                  <w:szCs w:val="28"/>
                  <w:highlight w:val="none"/>
                </w:rPr>
                <w:t>第四章</w:t>
              </w:r>
              <w:r>
                <w:rPr>
                  <w:rFonts w:hint="eastAsia" w:ascii="Times New Roman" w:hAnsi="Times New Roman" w:eastAsia="宋体" w:cs="Times New Roman"/>
                  <w:sz w:val="28"/>
                  <w:szCs w:val="28"/>
                  <w:highlight w:val="none"/>
                </w:rPr>
                <w:t xml:space="preserve"> </w:t>
              </w:r>
              <w:r>
                <w:rPr>
                  <w:rFonts w:ascii="Times New Roman" w:hAnsi="Times New Roman" w:eastAsia="宋体" w:cs="Times New Roman"/>
                  <w:sz w:val="28"/>
                  <w:szCs w:val="28"/>
                  <w:highlight w:val="none"/>
                </w:rPr>
                <w:t>合同内容</w:t>
              </w:r>
            </w:sdtContent>
          </w:sdt>
          <w:r>
            <w:rPr>
              <w:highlight w:val="none"/>
            </w:rPr>
            <w:fldChar w:fldCharType="end"/>
          </w:r>
        </w:p>
        <w:p>
          <w:pPr>
            <w:pStyle w:val="21"/>
            <w:tabs>
              <w:tab w:val="right" w:leader="dot" w:pos="8312"/>
            </w:tabs>
            <w:rPr>
              <w:rFonts w:ascii="Times New Roman" w:hAnsi="Times New Roman" w:cs="Times New Roman"/>
              <w:sz w:val="28"/>
              <w:szCs w:val="28"/>
              <w:highlight w:val="none"/>
            </w:rPr>
          </w:pPr>
          <w:r>
            <w:rPr>
              <w:highlight w:val="none"/>
            </w:rPr>
            <w:fldChar w:fldCharType="begin"/>
          </w:r>
          <w:r>
            <w:rPr>
              <w:highlight w:val="none"/>
            </w:rPr>
            <w:instrText xml:space="preserve"> HYPERLINK \l "_Toc21707_WPSOffice_Level1" </w:instrText>
          </w:r>
          <w:r>
            <w:rPr>
              <w:highlight w:val="none"/>
            </w:rPr>
            <w:fldChar w:fldCharType="separate"/>
          </w:r>
          <w:sdt>
            <w:sdtPr>
              <w:rPr>
                <w:rFonts w:ascii="Times New Roman" w:hAnsi="Times New Roman" w:cs="Times New Roman"/>
                <w:kern w:val="2"/>
                <w:sz w:val="28"/>
                <w:szCs w:val="28"/>
                <w:highlight w:val="none"/>
              </w:rPr>
              <w:id w:val="2054026697"/>
            </w:sdtPr>
            <w:sdtEndPr>
              <w:rPr>
                <w:rFonts w:ascii="Times New Roman" w:hAnsi="Times New Roman" w:cs="Times New Roman"/>
                <w:kern w:val="2"/>
                <w:sz w:val="28"/>
                <w:szCs w:val="28"/>
                <w:highlight w:val="none"/>
              </w:rPr>
            </w:sdtEndPr>
            <w:sdtContent>
              <w:r>
                <w:rPr>
                  <w:rFonts w:ascii="Times New Roman" w:hAnsi="Times New Roman" w:eastAsia="宋体" w:cs="Times New Roman"/>
                  <w:sz w:val="28"/>
                  <w:szCs w:val="28"/>
                  <w:highlight w:val="none"/>
                </w:rPr>
                <w:t>第五章</w:t>
              </w:r>
              <w:r>
                <w:rPr>
                  <w:rFonts w:hint="eastAsia" w:ascii="Times New Roman" w:hAnsi="Times New Roman" w:eastAsia="宋体" w:cs="Times New Roman"/>
                  <w:sz w:val="28"/>
                  <w:szCs w:val="28"/>
                  <w:highlight w:val="none"/>
                </w:rPr>
                <w:t xml:space="preserve"> </w:t>
              </w:r>
              <w:r>
                <w:rPr>
                  <w:rFonts w:ascii="Times New Roman" w:hAnsi="Times New Roman" w:eastAsia="宋体" w:cs="Times New Roman"/>
                  <w:sz w:val="28"/>
                  <w:szCs w:val="28"/>
                  <w:highlight w:val="none"/>
                </w:rPr>
                <w:t>采购需求及清单</w:t>
              </w:r>
            </w:sdtContent>
          </w:sdt>
          <w:r>
            <w:rPr>
              <w:highlight w:val="none"/>
            </w:rPr>
            <w:fldChar w:fldCharType="end"/>
          </w:r>
        </w:p>
        <w:p>
          <w:pPr>
            <w:pStyle w:val="21"/>
            <w:tabs>
              <w:tab w:val="right" w:leader="dot" w:pos="8312"/>
            </w:tabs>
            <w:rPr>
              <w:rFonts w:ascii="Times New Roman" w:hAnsi="Times New Roman" w:cs="Times New Roman"/>
              <w:highlight w:val="none"/>
            </w:rPr>
          </w:pPr>
          <w:r>
            <w:rPr>
              <w:highlight w:val="none"/>
            </w:rPr>
            <w:fldChar w:fldCharType="begin"/>
          </w:r>
          <w:r>
            <w:rPr>
              <w:highlight w:val="none"/>
            </w:rPr>
            <w:instrText xml:space="preserve"> HYPERLINK \l "_Toc9834_WPSOffice_Level1" </w:instrText>
          </w:r>
          <w:r>
            <w:rPr>
              <w:highlight w:val="none"/>
            </w:rPr>
            <w:fldChar w:fldCharType="separate"/>
          </w:r>
          <w:sdt>
            <w:sdtPr>
              <w:rPr>
                <w:rFonts w:ascii="Times New Roman" w:hAnsi="Times New Roman" w:cs="Times New Roman"/>
                <w:kern w:val="2"/>
                <w:sz w:val="28"/>
                <w:szCs w:val="28"/>
                <w:highlight w:val="none"/>
              </w:rPr>
              <w:id w:val="2117560298"/>
            </w:sdtPr>
            <w:sdtEndPr>
              <w:rPr>
                <w:rFonts w:ascii="Times New Roman" w:hAnsi="Times New Roman" w:cs="Times New Roman"/>
                <w:kern w:val="2"/>
                <w:sz w:val="28"/>
                <w:szCs w:val="28"/>
                <w:highlight w:val="none"/>
              </w:rPr>
            </w:sdtEndPr>
            <w:sdtContent>
              <w:r>
                <w:rPr>
                  <w:rFonts w:ascii="Times New Roman" w:hAnsi="Times New Roman" w:eastAsia="宋体" w:cs="Times New Roman"/>
                  <w:sz w:val="28"/>
                  <w:szCs w:val="28"/>
                  <w:highlight w:val="none"/>
                </w:rPr>
                <w:t>第六章</w:t>
              </w:r>
              <w:r>
                <w:rPr>
                  <w:rFonts w:hint="eastAsia" w:ascii="Times New Roman" w:hAnsi="Times New Roman" w:eastAsia="宋体" w:cs="Times New Roman"/>
                  <w:sz w:val="28"/>
                  <w:szCs w:val="28"/>
                  <w:highlight w:val="none"/>
                </w:rPr>
                <w:t xml:space="preserve"> </w:t>
              </w:r>
              <w:r>
                <w:rPr>
                  <w:rFonts w:ascii="Times New Roman" w:hAnsi="Times New Roman" w:eastAsia="宋体" w:cs="Times New Roman"/>
                  <w:sz w:val="28"/>
                  <w:szCs w:val="28"/>
                  <w:highlight w:val="none"/>
                </w:rPr>
                <w:t>响应文件格式</w:t>
              </w:r>
            </w:sdtContent>
          </w:sdt>
          <w:r>
            <w:rPr>
              <w:highlight w:val="none"/>
            </w:rPr>
            <w:fldChar w:fldCharType="end"/>
          </w:r>
        </w:p>
        <w:p>
          <w:pPr>
            <w:pStyle w:val="21"/>
            <w:tabs>
              <w:tab w:val="right" w:leader="dot" w:pos="8312"/>
            </w:tabs>
            <w:rPr>
              <w:highlight w:val="none"/>
            </w:rPr>
          </w:pPr>
        </w:p>
      </w:sdtContent>
    </w:sdt>
    <w:bookmarkEnd w:id="0"/>
    <w:p>
      <w:pPr>
        <w:jc w:val="center"/>
        <w:rPr>
          <w:rFonts w:ascii="宋体" w:hAnsi="宋体" w:eastAsia="宋体"/>
          <w:highlight w:val="none"/>
        </w:rPr>
      </w:pPr>
    </w:p>
    <w:p>
      <w:pPr>
        <w:jc w:val="center"/>
        <w:rPr>
          <w:rFonts w:ascii="宋体" w:hAnsi="宋体" w:eastAsia="宋体"/>
          <w:highlight w:val="none"/>
        </w:rPr>
      </w:pPr>
    </w:p>
    <w:p>
      <w:pPr>
        <w:rPr>
          <w:rFonts w:ascii="Times New Roman" w:hAnsi="Times New Roman" w:eastAsia="宋体" w:cs="Times New Roman"/>
          <w:highlight w:val="none"/>
        </w:rPr>
      </w:pPr>
      <w:r>
        <w:rPr>
          <w:rFonts w:ascii="Times New Roman" w:hAnsi="Times New Roman" w:eastAsia="宋体" w:cs="Times New Roman"/>
          <w:highlight w:val="none"/>
        </w:rPr>
        <w:br w:type="page"/>
      </w:r>
    </w:p>
    <w:p>
      <w:pPr>
        <w:pStyle w:val="2"/>
        <w:spacing w:before="312" w:after="312"/>
        <w:rPr>
          <w:rFonts w:ascii="Times New Roman" w:hAnsi="Times New Roman" w:eastAsia="宋体" w:cs="Times New Roman"/>
          <w:highlight w:val="none"/>
        </w:rPr>
      </w:pPr>
      <w:bookmarkStart w:id="1" w:name="_Toc6425_WPSOffice_Level1"/>
      <w:r>
        <w:rPr>
          <w:rFonts w:ascii="Times New Roman" w:hAnsi="Times New Roman" w:eastAsia="宋体" w:cs="Times New Roman"/>
          <w:highlight w:val="none"/>
        </w:rPr>
        <w:t>采购公告</w:t>
      </w:r>
      <w:bookmarkEnd w:id="1"/>
    </w:p>
    <w:p/>
    <w:p>
      <w:pPr>
        <w:pStyle w:val="3"/>
        <w:numPr>
          <w:ilvl w:val="0"/>
          <w:numId w:val="0"/>
        </w:numPr>
        <w:snapToGrid w:val="0"/>
        <w:spacing w:before="120" w:after="120" w:line="560" w:lineRule="exact"/>
        <w:ind w:left="17" w:leftChars="0" w:firstLine="403" w:firstLineChars="0"/>
        <w:rPr>
          <w:rFonts w:ascii="Times New Roman" w:hAnsi="Times New Roman" w:eastAsia="黑体" w:cs="Times New Roman"/>
          <w:bCs w:val="0"/>
          <w:sz w:val="22"/>
          <w:szCs w:val="15"/>
          <w:highlight w:val="none"/>
        </w:rPr>
      </w:pPr>
      <w:bookmarkStart w:id="2" w:name="_Toc24354_WPSOffice_Level2"/>
      <w:bookmarkStart w:id="3" w:name="_Toc13871"/>
      <w:bookmarkStart w:id="4" w:name="_Toc6496_WPSOffice_Level2"/>
      <w:bookmarkStart w:id="5" w:name="_Toc525632585"/>
      <w:bookmarkStart w:id="6" w:name="_Toc10395_WPSOffice_Level2"/>
      <w:bookmarkStart w:id="7" w:name="_Toc4489_WPSOffice_Level2"/>
      <w:bookmarkStart w:id="8" w:name="_Toc12765"/>
      <w:r>
        <w:rPr>
          <w:rFonts w:hint="default" w:ascii="Times New Roman" w:hAnsi="Times New Roman" w:eastAsia="黑体" w:cs="Times New Roman"/>
          <w:b/>
          <w:bCs w:val="0"/>
          <w:kern w:val="2"/>
          <w:sz w:val="22"/>
          <w:szCs w:val="15"/>
          <w:highlight w:val="none"/>
          <w:lang w:val="en-US" w:eastAsia="zh-CN" w:bidi="ar-SA"/>
        </w:rPr>
        <w:t>1．</w:t>
      </w:r>
      <w:r>
        <w:rPr>
          <w:rFonts w:ascii="Times New Roman" w:hAnsi="Times New Roman" w:eastAsia="黑体" w:cs="Times New Roman"/>
          <w:bCs w:val="0"/>
          <w:sz w:val="22"/>
          <w:szCs w:val="15"/>
          <w:highlight w:val="none"/>
        </w:rPr>
        <w:t>项目简介</w:t>
      </w:r>
      <w:bookmarkEnd w:id="2"/>
      <w:bookmarkEnd w:id="3"/>
      <w:bookmarkEnd w:id="4"/>
      <w:bookmarkEnd w:id="5"/>
      <w:bookmarkEnd w:id="6"/>
      <w:bookmarkEnd w:id="7"/>
      <w:bookmarkEnd w:id="8"/>
    </w:p>
    <w:p>
      <w:pPr>
        <w:widowControl/>
        <w:ind w:firstLine="420" w:firstLineChars="200"/>
        <w:rPr>
          <w:rFonts w:ascii="宋体" w:hAnsi="宋体" w:eastAsia="宋体" w:cs="宋体"/>
          <w:b/>
          <w:bCs/>
          <w:color w:val="FF0000"/>
          <w:sz w:val="44"/>
          <w:szCs w:val="44"/>
          <w:highlight w:val="none"/>
          <w:u w:val="none"/>
        </w:rPr>
      </w:pPr>
      <w:r>
        <w:rPr>
          <w:rFonts w:ascii="Times New Roman" w:hAnsi="Times New Roman" w:cs="Times New Roman"/>
          <w:szCs w:val="22"/>
          <w:highlight w:val="none"/>
          <w:u w:val="none"/>
        </w:rPr>
        <w:t>1.1</w:t>
      </w:r>
      <w:r>
        <w:rPr>
          <w:rFonts w:ascii="Times New Roman" w:hAnsi="Times New Roman" w:cs="Times New Roman"/>
          <w:color w:val="FF0000"/>
          <w:szCs w:val="22"/>
          <w:highlight w:val="none"/>
          <w:u w:val="none"/>
        </w:rPr>
        <w:t xml:space="preserve"> </w:t>
      </w:r>
      <w:r>
        <w:rPr>
          <w:rFonts w:ascii="Times New Roman" w:hAnsi="Times New Roman" w:cs="Times New Roman"/>
          <w:szCs w:val="22"/>
          <w:highlight w:val="none"/>
          <w:u w:val="none"/>
        </w:rPr>
        <w:t>项目名称：</w:t>
      </w:r>
      <w:r>
        <w:rPr>
          <w:rFonts w:hint="eastAsia" w:ascii="宋体" w:hAnsi="宋体" w:eastAsia="宋体" w:cs="宋体"/>
          <w:szCs w:val="21"/>
          <w:highlight w:val="none"/>
          <w:u w:val="none"/>
        </w:rPr>
        <w:t>安徽交运集团</w:t>
      </w:r>
      <w:r>
        <w:rPr>
          <w:rFonts w:hint="eastAsia" w:ascii="宋体" w:hAnsi="宋体" w:eastAsia="宋体" w:cs="宋体"/>
          <w:szCs w:val="21"/>
          <w:highlight w:val="none"/>
          <w:u w:val="none"/>
          <w:lang w:val="en-US" w:eastAsia="zh-CN"/>
        </w:rPr>
        <w:t>汽车销售有限公司</w:t>
      </w:r>
      <w:r>
        <w:rPr>
          <w:rFonts w:hint="eastAsia" w:ascii="宋体" w:hAnsi="宋体" w:eastAsia="宋体" w:cs="宋体"/>
          <w:szCs w:val="21"/>
          <w:highlight w:val="none"/>
          <w:u w:val="none"/>
        </w:rPr>
        <w:t>安庆望江车辆磷酸铁锂动力电池更换项目</w:t>
      </w:r>
    </w:p>
    <w:p>
      <w:pPr>
        <w:snapToGrid w:val="0"/>
        <w:spacing w:line="560" w:lineRule="exact"/>
        <w:ind w:firstLine="420" w:firstLineChars="200"/>
        <w:rPr>
          <w:rFonts w:ascii="Times New Roman" w:hAnsi="Times New Roman" w:cs="Times New Roman"/>
          <w:szCs w:val="22"/>
          <w:highlight w:val="none"/>
          <w:u w:val="none"/>
        </w:rPr>
      </w:pPr>
      <w:r>
        <w:rPr>
          <w:rFonts w:ascii="Times New Roman" w:hAnsi="Times New Roman" w:cs="Times New Roman"/>
          <w:szCs w:val="22"/>
          <w:highlight w:val="none"/>
          <w:u w:val="none"/>
        </w:rPr>
        <w:t>1.2 采</w:t>
      </w:r>
      <w:r>
        <w:rPr>
          <w:rFonts w:hint="eastAsia" w:ascii="Times New Roman" w:hAnsi="Times New Roman" w:cs="Times New Roman"/>
          <w:szCs w:val="22"/>
          <w:highlight w:val="none"/>
          <w:u w:val="none"/>
        </w:rPr>
        <w:t xml:space="preserve"> </w:t>
      </w:r>
      <w:r>
        <w:rPr>
          <w:rFonts w:ascii="Times New Roman" w:hAnsi="Times New Roman" w:cs="Times New Roman"/>
          <w:szCs w:val="22"/>
          <w:highlight w:val="none"/>
          <w:u w:val="none"/>
        </w:rPr>
        <w:t>购</w:t>
      </w:r>
      <w:r>
        <w:rPr>
          <w:rFonts w:hint="eastAsia" w:ascii="Times New Roman" w:hAnsi="Times New Roman" w:cs="Times New Roman"/>
          <w:szCs w:val="22"/>
          <w:highlight w:val="none"/>
          <w:u w:val="none"/>
        </w:rPr>
        <w:t xml:space="preserve"> </w:t>
      </w:r>
      <w:r>
        <w:rPr>
          <w:rFonts w:ascii="Times New Roman" w:hAnsi="Times New Roman" w:cs="Times New Roman"/>
          <w:szCs w:val="22"/>
          <w:highlight w:val="none"/>
          <w:u w:val="none"/>
        </w:rPr>
        <w:t>人：</w:t>
      </w:r>
      <w:r>
        <w:rPr>
          <w:rFonts w:hint="eastAsia" w:ascii="Times New Roman" w:hAnsi="Times New Roman" w:cs="Times New Roman"/>
          <w:szCs w:val="22"/>
          <w:highlight w:val="none"/>
          <w:u w:val="none"/>
        </w:rPr>
        <w:t>安徽交运集团汽车销售有限公司</w:t>
      </w:r>
    </w:p>
    <w:p>
      <w:pPr>
        <w:snapToGrid w:val="0"/>
        <w:spacing w:line="440" w:lineRule="exact"/>
        <w:ind w:firstLine="420" w:firstLineChars="200"/>
        <w:rPr>
          <w:rFonts w:ascii="Times New Roman" w:hAnsi="Times New Roman" w:cs="Times New Roman"/>
          <w:szCs w:val="22"/>
          <w:highlight w:val="none"/>
          <w:u w:val="none"/>
        </w:rPr>
      </w:pPr>
      <w:r>
        <w:rPr>
          <w:rFonts w:ascii="Times New Roman" w:hAnsi="Times New Roman" w:cs="Times New Roman"/>
          <w:szCs w:val="22"/>
          <w:highlight w:val="none"/>
          <w:u w:val="none"/>
        </w:rPr>
        <w:t>1.3 项目概况：</w:t>
      </w:r>
      <w:r>
        <w:rPr>
          <w:rFonts w:hint="eastAsia" w:ascii="Times New Roman" w:hAnsi="Times New Roman" w:cs="Times New Roman"/>
          <w:szCs w:val="22"/>
          <w:highlight w:val="none"/>
          <w:u w:val="none"/>
        </w:rPr>
        <w:t>用于</w:t>
      </w:r>
      <w:r>
        <w:rPr>
          <w:rFonts w:hint="eastAsia" w:ascii="Times New Roman" w:hAnsi="Times New Roman" w:cs="Times New Roman"/>
          <w:szCs w:val="22"/>
          <w:highlight w:val="none"/>
          <w:u w:val="none"/>
          <w:lang w:val="en-US" w:eastAsia="zh-CN"/>
        </w:rPr>
        <w:t>安庆望江城市公交20台公交车辆动力电池整体换新</w:t>
      </w:r>
      <w:r>
        <w:rPr>
          <w:rFonts w:hint="eastAsia" w:ascii="Times New Roman" w:hAnsi="Times New Roman" w:cs="Times New Roman"/>
          <w:szCs w:val="22"/>
          <w:highlight w:val="none"/>
          <w:u w:val="none"/>
        </w:rPr>
        <w:t xml:space="preserve"> </w:t>
      </w:r>
    </w:p>
    <w:p>
      <w:pPr>
        <w:pStyle w:val="3"/>
        <w:numPr>
          <w:ilvl w:val="0"/>
          <w:numId w:val="0"/>
        </w:numPr>
        <w:snapToGrid w:val="0"/>
        <w:spacing w:before="120" w:after="120" w:line="560" w:lineRule="exact"/>
        <w:ind w:left="17" w:leftChars="0" w:firstLine="403" w:firstLineChars="0"/>
        <w:rPr>
          <w:rFonts w:ascii="Times New Roman" w:hAnsi="Times New Roman" w:eastAsia="黑体" w:cs="Times New Roman"/>
          <w:bCs w:val="0"/>
          <w:sz w:val="22"/>
          <w:szCs w:val="15"/>
          <w:highlight w:val="none"/>
        </w:rPr>
      </w:pPr>
      <w:bookmarkStart w:id="9" w:name="_Toc8128_WPSOffice_Level2"/>
      <w:bookmarkStart w:id="10" w:name="_Toc18367_WPSOffice_Level2"/>
      <w:bookmarkStart w:id="11" w:name="_Toc10274"/>
      <w:bookmarkStart w:id="12" w:name="_Toc23266_WPSOffice_Level2"/>
      <w:bookmarkStart w:id="13" w:name="_Toc17858_WPSOffice_Level2"/>
      <w:bookmarkStart w:id="14" w:name="_Toc525632586"/>
      <w:bookmarkStart w:id="15" w:name="_Toc18453"/>
      <w:r>
        <w:rPr>
          <w:rFonts w:hint="default" w:ascii="Times New Roman" w:hAnsi="Times New Roman" w:eastAsia="黑体" w:cs="Times New Roman"/>
          <w:b/>
          <w:bCs w:val="0"/>
          <w:kern w:val="2"/>
          <w:sz w:val="22"/>
          <w:szCs w:val="15"/>
          <w:highlight w:val="none"/>
          <w:lang w:val="en-US" w:eastAsia="zh-CN" w:bidi="ar-SA"/>
        </w:rPr>
        <w:t>2．</w:t>
      </w:r>
      <w:r>
        <w:rPr>
          <w:rFonts w:ascii="Times New Roman" w:hAnsi="Times New Roman" w:eastAsia="黑体" w:cs="Times New Roman"/>
          <w:bCs w:val="0"/>
          <w:sz w:val="22"/>
          <w:szCs w:val="15"/>
          <w:highlight w:val="none"/>
        </w:rPr>
        <w:t>采购说明</w:t>
      </w:r>
      <w:bookmarkEnd w:id="9"/>
      <w:bookmarkEnd w:id="10"/>
      <w:bookmarkEnd w:id="11"/>
      <w:bookmarkEnd w:id="12"/>
      <w:bookmarkEnd w:id="13"/>
      <w:bookmarkEnd w:id="14"/>
      <w:bookmarkEnd w:id="15"/>
    </w:p>
    <w:p>
      <w:pPr>
        <w:snapToGrid w:val="0"/>
        <w:spacing w:line="500" w:lineRule="atLeast"/>
        <w:ind w:firstLine="420" w:firstLineChars="200"/>
        <w:rPr>
          <w:rFonts w:ascii="Times New Roman" w:hAnsi="Times New Roman" w:cs="Times New Roman"/>
          <w:szCs w:val="22"/>
          <w:highlight w:val="none"/>
          <w:u w:val="none"/>
        </w:rPr>
      </w:pPr>
      <w:bookmarkStart w:id="16" w:name="_Toc4489_WPSOffice_Level3"/>
      <w:r>
        <w:rPr>
          <w:rFonts w:ascii="Times New Roman" w:hAnsi="Times New Roman" w:cs="Times New Roman"/>
          <w:szCs w:val="22"/>
          <w:highlight w:val="none"/>
          <w:u w:val="none"/>
        </w:rPr>
        <w:t>2.1 采购方式：</w:t>
      </w:r>
      <w:bookmarkEnd w:id="16"/>
      <w:r>
        <w:rPr>
          <w:rFonts w:ascii="Times New Roman" w:hAnsi="Times New Roman" w:cs="Times New Roman"/>
          <w:szCs w:val="22"/>
          <w:highlight w:val="none"/>
          <w:u w:val="none"/>
        </w:rPr>
        <w:t>公开询比采购</w:t>
      </w:r>
    </w:p>
    <w:p>
      <w:pPr>
        <w:snapToGrid w:val="0"/>
        <w:spacing w:line="500" w:lineRule="atLeast"/>
        <w:ind w:firstLine="420" w:firstLineChars="200"/>
        <w:rPr>
          <w:rFonts w:ascii="Times New Roman" w:hAnsi="Times New Roman" w:cs="Times New Roman"/>
          <w:szCs w:val="22"/>
          <w:highlight w:val="none"/>
          <w:u w:val="none"/>
        </w:rPr>
      </w:pPr>
      <w:bookmarkStart w:id="17" w:name="_Toc23266_WPSOffice_Level3"/>
      <w:r>
        <w:rPr>
          <w:rFonts w:ascii="Times New Roman" w:hAnsi="Times New Roman" w:cs="Times New Roman"/>
          <w:szCs w:val="22"/>
          <w:highlight w:val="none"/>
          <w:u w:val="none"/>
        </w:rPr>
        <w:t>2.2 资金来源及比例：</w:t>
      </w:r>
      <w:bookmarkEnd w:id="17"/>
      <w:bookmarkStart w:id="18" w:name="_Toc22379_WPSOffice_Level3"/>
      <w:r>
        <w:rPr>
          <w:rFonts w:ascii="Times New Roman" w:hAnsi="Times New Roman" w:cs="Times New Roman"/>
          <w:szCs w:val="22"/>
          <w:highlight w:val="none"/>
          <w:u w:val="none"/>
        </w:rPr>
        <w:t>企业自筹</w:t>
      </w:r>
    </w:p>
    <w:p>
      <w:pPr>
        <w:snapToGrid w:val="0"/>
        <w:spacing w:line="500" w:lineRule="atLeast"/>
        <w:ind w:firstLine="420" w:firstLineChars="200"/>
        <w:rPr>
          <w:rFonts w:hint="default" w:ascii="Times New Roman" w:hAnsi="Times New Roman" w:cs="Times New Roman" w:eastAsiaTheme="minorEastAsia"/>
          <w:szCs w:val="22"/>
          <w:highlight w:val="none"/>
          <w:u w:val="none"/>
          <w:lang w:val="en-US" w:eastAsia="zh-CN"/>
        </w:rPr>
      </w:pPr>
      <w:r>
        <w:rPr>
          <w:rFonts w:ascii="Times New Roman" w:hAnsi="Times New Roman" w:cs="Times New Roman"/>
          <w:szCs w:val="22"/>
          <w:highlight w:val="none"/>
          <w:u w:val="none"/>
        </w:rPr>
        <w:t xml:space="preserve">2.3 </w:t>
      </w:r>
      <w:r>
        <w:rPr>
          <w:rFonts w:hint="eastAsia" w:ascii="Times New Roman" w:hAnsi="Times New Roman" w:cs="Times New Roman"/>
          <w:szCs w:val="22"/>
          <w:highlight w:val="none"/>
          <w:u w:val="none"/>
        </w:rPr>
        <w:t>采购范围：</w:t>
      </w:r>
      <w:r>
        <w:rPr>
          <w:rFonts w:hint="eastAsia" w:ascii="Times New Roman" w:hAnsi="Times New Roman" w:cs="Times New Roman"/>
          <w:szCs w:val="22"/>
          <w:highlight w:val="none"/>
          <w:u w:val="none"/>
          <w:lang w:val="en-US" w:eastAsia="zh-CN"/>
        </w:rPr>
        <w:t>安徽交运集团安庆汽运有限公司望江城市公交分公司现有新能源公交客运车辆 20 辆(安达尔客车8.1米型) ，拟采购磷酸铁锂动力电池组 (不得采用梯次电芯) 及相关组件对车辆原电池及相关组件进行更换，包括但不限于编制电池更换方案、车辆原电池的拆除新电池的采购与安装、系统调试与试运行、产品维修保养以及相关配套服务等，具体内容详见询比文件、采购要求、合同条款等。</w:t>
      </w:r>
    </w:p>
    <w:p>
      <w:pPr>
        <w:snapToGrid w:val="0"/>
        <w:spacing w:line="500" w:lineRule="atLeast"/>
        <w:ind w:firstLine="420" w:firstLineChars="200"/>
        <w:rPr>
          <w:rFonts w:ascii="Times New Roman" w:hAnsi="Times New Roman" w:cs="Times New Roman"/>
          <w:szCs w:val="22"/>
          <w:highlight w:val="none"/>
          <w:u w:val="none"/>
        </w:rPr>
      </w:pPr>
      <w:r>
        <w:rPr>
          <w:rFonts w:hint="eastAsia" w:ascii="Times New Roman" w:hAnsi="Times New Roman" w:cs="Times New Roman"/>
          <w:szCs w:val="22"/>
          <w:highlight w:val="none"/>
          <w:u w:val="none"/>
        </w:rPr>
        <w:t xml:space="preserve">2.4 </w:t>
      </w:r>
      <w:r>
        <w:rPr>
          <w:rFonts w:ascii="Times New Roman" w:hAnsi="Times New Roman" w:cs="Times New Roman"/>
          <w:szCs w:val="22"/>
          <w:highlight w:val="none"/>
          <w:u w:val="none"/>
        </w:rPr>
        <w:t>合同包划分：</w:t>
      </w:r>
      <w:r>
        <w:rPr>
          <w:rFonts w:hint="eastAsia" w:ascii="Times New Roman" w:hAnsi="Times New Roman" w:cs="Times New Roman"/>
          <w:szCs w:val="22"/>
          <w:highlight w:val="none"/>
          <w:u w:val="none"/>
        </w:rPr>
        <w:t xml:space="preserve"> </w:t>
      </w:r>
      <w:r>
        <w:rPr>
          <w:rFonts w:hint="eastAsia" w:ascii="Times New Roman" w:hAnsi="Times New Roman" w:cs="Times New Roman"/>
          <w:szCs w:val="22"/>
          <w:highlight w:val="none"/>
          <w:u w:val="none"/>
          <w:lang w:val="en-US" w:eastAsia="zh-CN"/>
        </w:rPr>
        <w:t>不划分</w:t>
      </w:r>
      <w:r>
        <w:rPr>
          <w:rFonts w:hint="eastAsia" w:ascii="Times New Roman" w:hAnsi="Times New Roman" w:cs="Times New Roman"/>
          <w:szCs w:val="22"/>
          <w:highlight w:val="none"/>
          <w:u w:val="none"/>
        </w:rPr>
        <w:t xml:space="preserve">  </w:t>
      </w:r>
    </w:p>
    <w:p>
      <w:pPr>
        <w:snapToGrid w:val="0"/>
        <w:spacing w:line="500" w:lineRule="atLeast"/>
        <w:ind w:firstLine="420" w:firstLineChars="200"/>
        <w:rPr>
          <w:rFonts w:ascii="Times New Roman" w:hAnsi="Times New Roman" w:cs="Times New Roman"/>
          <w:szCs w:val="22"/>
          <w:highlight w:val="none"/>
          <w:u w:val="none"/>
        </w:rPr>
      </w:pPr>
      <w:r>
        <w:rPr>
          <w:rFonts w:ascii="Times New Roman" w:hAnsi="Times New Roman" w:cs="Times New Roman"/>
          <w:szCs w:val="22"/>
          <w:highlight w:val="none"/>
          <w:u w:val="none"/>
        </w:rPr>
        <w:t>2.</w:t>
      </w:r>
      <w:r>
        <w:rPr>
          <w:rFonts w:hint="eastAsia" w:ascii="Times New Roman" w:hAnsi="Times New Roman" w:cs="Times New Roman"/>
          <w:szCs w:val="22"/>
          <w:highlight w:val="none"/>
          <w:u w:val="none"/>
        </w:rPr>
        <w:t>5</w:t>
      </w:r>
      <w:r>
        <w:rPr>
          <w:rFonts w:ascii="Times New Roman" w:hAnsi="Times New Roman" w:cs="Times New Roman"/>
          <w:szCs w:val="22"/>
          <w:highlight w:val="none"/>
          <w:u w:val="none"/>
        </w:rPr>
        <w:t>最高限价：</w:t>
      </w:r>
      <w:bookmarkEnd w:id="18"/>
      <w:r>
        <w:rPr>
          <w:rFonts w:hint="eastAsia" w:ascii="Times New Roman" w:hAnsi="Times New Roman" w:cs="Times New Roman"/>
          <w:szCs w:val="22"/>
          <w:highlight w:val="none"/>
          <w:u w:val="none"/>
        </w:rPr>
        <w:t>合同控制价</w:t>
      </w:r>
      <w:r>
        <w:rPr>
          <w:rFonts w:hint="eastAsia" w:ascii="Times New Roman" w:hAnsi="Times New Roman" w:cs="Times New Roman"/>
          <w:szCs w:val="22"/>
          <w:highlight w:val="none"/>
          <w:u w:val="none"/>
          <w:lang w:val="en-US" w:eastAsia="zh-CN"/>
        </w:rPr>
        <w:t>199.5</w:t>
      </w:r>
      <w:r>
        <w:rPr>
          <w:rFonts w:hint="eastAsia" w:ascii="Times New Roman" w:hAnsi="Times New Roman" w:cs="Times New Roman"/>
          <w:szCs w:val="22"/>
          <w:highlight w:val="none"/>
          <w:u w:val="none"/>
        </w:rPr>
        <w:t>万元（车辆数：</w:t>
      </w:r>
      <w:r>
        <w:rPr>
          <w:rFonts w:hint="eastAsia" w:ascii="Times New Roman" w:hAnsi="Times New Roman" w:cs="Times New Roman"/>
          <w:szCs w:val="22"/>
          <w:highlight w:val="none"/>
          <w:u w:val="none"/>
          <w:lang w:val="en-US" w:eastAsia="zh-CN"/>
        </w:rPr>
        <w:t>2</w:t>
      </w:r>
      <w:r>
        <w:rPr>
          <w:rFonts w:hint="eastAsia" w:ascii="Times New Roman" w:hAnsi="Times New Roman" w:cs="Times New Roman"/>
          <w:szCs w:val="22"/>
          <w:highlight w:val="none"/>
          <w:u w:val="none"/>
        </w:rPr>
        <w:t>0辆，电池组及相关组件数量：</w:t>
      </w:r>
      <w:r>
        <w:rPr>
          <w:rFonts w:hint="eastAsia" w:ascii="Times New Roman" w:hAnsi="Times New Roman" w:cs="Times New Roman"/>
          <w:szCs w:val="22"/>
          <w:highlight w:val="none"/>
          <w:u w:val="none"/>
          <w:lang w:val="en-US" w:eastAsia="zh-CN"/>
        </w:rPr>
        <w:t>2</w:t>
      </w:r>
      <w:r>
        <w:rPr>
          <w:rFonts w:hint="eastAsia" w:ascii="Times New Roman" w:hAnsi="Times New Roman" w:cs="Times New Roman"/>
          <w:szCs w:val="22"/>
          <w:highlight w:val="none"/>
          <w:u w:val="none"/>
        </w:rPr>
        <w:t>0套，每套最低电量：105kwh，电量单价限价：950元/kwh，最高总</w:t>
      </w:r>
      <w:r>
        <w:rPr>
          <w:rFonts w:hint="eastAsia" w:ascii="Times New Roman" w:hAnsi="Times New Roman" w:cs="Times New Roman"/>
          <w:szCs w:val="22"/>
          <w:highlight w:val="none"/>
          <w:u w:val="none"/>
          <w:lang w:val="en-US" w:eastAsia="zh-CN"/>
        </w:rPr>
        <w:t>响应</w:t>
      </w:r>
      <w:r>
        <w:rPr>
          <w:rFonts w:hint="eastAsia" w:ascii="Times New Roman" w:hAnsi="Times New Roman" w:cs="Times New Roman"/>
          <w:szCs w:val="22"/>
          <w:highlight w:val="none"/>
          <w:u w:val="none"/>
        </w:rPr>
        <w:t>限价：</w:t>
      </w:r>
      <w:r>
        <w:rPr>
          <w:rFonts w:hint="eastAsia" w:ascii="Times New Roman" w:hAnsi="Times New Roman" w:cs="Times New Roman"/>
          <w:szCs w:val="22"/>
          <w:highlight w:val="none"/>
          <w:u w:val="none"/>
          <w:lang w:val="en-US" w:eastAsia="zh-CN"/>
        </w:rPr>
        <w:t>2</w:t>
      </w:r>
      <w:r>
        <w:rPr>
          <w:rFonts w:hint="eastAsia" w:ascii="Times New Roman" w:hAnsi="Times New Roman" w:cs="Times New Roman"/>
          <w:szCs w:val="22"/>
          <w:highlight w:val="none"/>
          <w:u w:val="none"/>
        </w:rPr>
        <w:t>0×105×950=</w:t>
      </w:r>
      <w:r>
        <w:rPr>
          <w:rFonts w:hint="eastAsia" w:ascii="Times New Roman" w:hAnsi="Times New Roman" w:cs="Times New Roman"/>
          <w:szCs w:val="22"/>
          <w:highlight w:val="none"/>
          <w:u w:val="none"/>
          <w:lang w:val="en-US" w:eastAsia="zh-CN"/>
        </w:rPr>
        <w:t>1995000</w:t>
      </w:r>
      <w:r>
        <w:rPr>
          <w:rFonts w:hint="eastAsia" w:ascii="Times New Roman" w:hAnsi="Times New Roman" w:cs="Times New Roman"/>
          <w:szCs w:val="22"/>
          <w:highlight w:val="none"/>
          <w:u w:val="none"/>
        </w:rPr>
        <w:t>元）</w:t>
      </w:r>
      <w:r>
        <w:rPr>
          <w:rFonts w:hint="eastAsia" w:ascii="Times New Roman" w:hAnsi="Times New Roman" w:cs="Times New Roman"/>
          <w:szCs w:val="22"/>
          <w:highlight w:val="none"/>
          <w:u w:val="none"/>
          <w:lang w:val="en-US" w:eastAsia="zh-CN"/>
        </w:rPr>
        <w:t>响应</w:t>
      </w:r>
      <w:r>
        <w:rPr>
          <w:rFonts w:hint="eastAsia" w:ascii="Times New Roman" w:hAnsi="Times New Roman" w:cs="Times New Roman"/>
          <w:szCs w:val="22"/>
          <w:highlight w:val="none"/>
          <w:u w:val="none"/>
        </w:rPr>
        <w:t>人的总</w:t>
      </w:r>
      <w:r>
        <w:rPr>
          <w:rFonts w:hint="eastAsia" w:ascii="Times New Roman" w:hAnsi="Times New Roman" w:cs="Times New Roman"/>
          <w:szCs w:val="22"/>
          <w:highlight w:val="none"/>
          <w:u w:val="none"/>
          <w:lang w:val="en-US" w:eastAsia="zh-CN"/>
        </w:rPr>
        <w:t>响应</w:t>
      </w:r>
      <w:r>
        <w:rPr>
          <w:rFonts w:hint="eastAsia" w:ascii="Times New Roman" w:hAnsi="Times New Roman" w:cs="Times New Roman"/>
          <w:szCs w:val="22"/>
          <w:highlight w:val="none"/>
          <w:u w:val="none"/>
        </w:rPr>
        <w:t>报价不得超过最高总</w:t>
      </w:r>
      <w:r>
        <w:rPr>
          <w:rFonts w:hint="eastAsia" w:ascii="Times New Roman" w:hAnsi="Times New Roman" w:cs="Times New Roman"/>
          <w:szCs w:val="22"/>
          <w:highlight w:val="none"/>
          <w:u w:val="none"/>
          <w:lang w:val="en-US" w:eastAsia="zh-CN"/>
        </w:rPr>
        <w:t>响应</w:t>
      </w:r>
      <w:r>
        <w:rPr>
          <w:rFonts w:hint="eastAsia" w:ascii="Times New Roman" w:hAnsi="Times New Roman" w:cs="Times New Roman"/>
          <w:szCs w:val="22"/>
          <w:highlight w:val="none"/>
          <w:u w:val="none"/>
        </w:rPr>
        <w:t>限价，电量单价不得超过对应单价限价，否则作无效标处理。</w:t>
      </w:r>
    </w:p>
    <w:p>
      <w:pPr>
        <w:snapToGrid w:val="0"/>
        <w:spacing w:line="500" w:lineRule="atLeast"/>
        <w:ind w:firstLine="420" w:firstLineChars="200"/>
        <w:rPr>
          <w:rFonts w:hint="eastAsia" w:ascii="Times New Roman" w:hAnsi="Times New Roman" w:cs="Times New Roman" w:eastAsiaTheme="minorEastAsia"/>
          <w:szCs w:val="22"/>
          <w:highlight w:val="none"/>
          <w:u w:val="none"/>
          <w:lang w:eastAsia="zh-CN"/>
        </w:rPr>
      </w:pPr>
      <w:r>
        <w:rPr>
          <w:rFonts w:ascii="Times New Roman" w:hAnsi="Times New Roman" w:cs="Times New Roman"/>
          <w:szCs w:val="22"/>
          <w:highlight w:val="none"/>
          <w:u w:val="none"/>
        </w:rPr>
        <w:t>2.6 计划</w:t>
      </w:r>
      <w:r>
        <w:rPr>
          <w:rFonts w:hint="eastAsia" w:ascii="Times New Roman" w:hAnsi="Times New Roman" w:cs="Times New Roman"/>
          <w:szCs w:val="22"/>
          <w:highlight w:val="none"/>
          <w:u w:val="none"/>
        </w:rPr>
        <w:t>交货</w:t>
      </w:r>
      <w:r>
        <w:rPr>
          <w:rFonts w:ascii="Times New Roman" w:hAnsi="Times New Roman" w:cs="Times New Roman"/>
          <w:szCs w:val="22"/>
          <w:highlight w:val="none"/>
          <w:u w:val="none"/>
        </w:rPr>
        <w:t>期：</w:t>
      </w:r>
      <w:r>
        <w:rPr>
          <w:rFonts w:hint="eastAsia" w:cs="宋体"/>
          <w:szCs w:val="21"/>
          <w:highlight w:val="none"/>
          <w:u w:val="none"/>
        </w:rPr>
        <w:t>合同签订之日起</w:t>
      </w:r>
      <w:r>
        <w:rPr>
          <w:rFonts w:hint="eastAsia" w:cs="宋体"/>
          <w:szCs w:val="21"/>
          <w:highlight w:val="none"/>
          <w:u w:val="none"/>
          <w:lang w:val="en-US" w:eastAsia="zh-CN"/>
        </w:rPr>
        <w:t>30</w:t>
      </w:r>
      <w:r>
        <w:rPr>
          <w:rFonts w:hint="eastAsia" w:cs="宋体"/>
          <w:szCs w:val="21"/>
          <w:highlight w:val="none"/>
          <w:u w:val="none"/>
        </w:rPr>
        <w:t>个日历日</w:t>
      </w:r>
      <w:r>
        <w:rPr>
          <w:rFonts w:hint="eastAsia" w:cs="宋体"/>
          <w:szCs w:val="21"/>
          <w:highlight w:val="none"/>
          <w:u w:val="none"/>
          <w:lang w:eastAsia="zh-CN"/>
        </w:rPr>
        <w:t>，并取得采购人认可；采购人对改造设计和路试认可后方可开展电池组及相关组件的批量更换。采购人有权决定车辆是否更换新的电池组及相关组件以及更换时序。</w:t>
      </w:r>
    </w:p>
    <w:p>
      <w:pPr>
        <w:pStyle w:val="3"/>
        <w:numPr>
          <w:ilvl w:val="0"/>
          <w:numId w:val="0"/>
        </w:numPr>
        <w:snapToGrid w:val="0"/>
        <w:spacing w:before="120" w:after="120" w:line="560" w:lineRule="exact"/>
        <w:ind w:left="420"/>
        <w:rPr>
          <w:rFonts w:ascii="Times New Roman" w:hAnsi="Times New Roman" w:eastAsia="黑体" w:cs="Times New Roman"/>
          <w:bCs w:val="0"/>
          <w:sz w:val="22"/>
          <w:szCs w:val="15"/>
          <w:highlight w:val="none"/>
        </w:rPr>
      </w:pPr>
      <w:bookmarkStart w:id="19" w:name="_Toc525632587"/>
      <w:bookmarkStart w:id="20" w:name="_Toc22379_WPSOffice_Level2"/>
      <w:bookmarkStart w:id="21" w:name="_Toc3714"/>
      <w:bookmarkStart w:id="22" w:name="_Toc29516_WPSOffice_Level2"/>
      <w:bookmarkStart w:id="23" w:name="_Toc31673_WPSOffice_Level2"/>
      <w:bookmarkStart w:id="24" w:name="_Toc1622_WPSOffice_Level2"/>
      <w:bookmarkStart w:id="25" w:name="_Toc6388"/>
      <w:r>
        <w:rPr>
          <w:rFonts w:hint="eastAsia" w:ascii="Times New Roman" w:hAnsi="Times New Roman" w:cs="Times New Roman"/>
          <w:b w:val="0"/>
          <w:bCs w:val="0"/>
          <w:sz w:val="21"/>
          <w:szCs w:val="22"/>
          <w:highlight w:val="none"/>
        </w:rPr>
        <w:t>3.</w:t>
      </w:r>
      <w:r>
        <w:rPr>
          <w:rFonts w:hint="eastAsia" w:ascii="Calibri" w:hAnsi="Calibri" w:eastAsia="宋体" w:cs="Times New Roman"/>
          <w:szCs w:val="21"/>
          <w:highlight w:val="none"/>
        </w:rPr>
        <w:t xml:space="preserve"> </w:t>
      </w:r>
      <w:r>
        <w:rPr>
          <w:rFonts w:ascii="Times New Roman" w:hAnsi="Times New Roman" w:eastAsia="黑体" w:cs="Times New Roman"/>
          <w:bCs w:val="0"/>
          <w:sz w:val="22"/>
          <w:szCs w:val="15"/>
          <w:highlight w:val="none"/>
        </w:rPr>
        <w:t>供应商资格条件</w:t>
      </w:r>
      <w:bookmarkEnd w:id="19"/>
      <w:bookmarkEnd w:id="20"/>
      <w:bookmarkEnd w:id="21"/>
      <w:bookmarkEnd w:id="22"/>
      <w:bookmarkEnd w:id="23"/>
      <w:bookmarkEnd w:id="24"/>
      <w:bookmarkEnd w:id="25"/>
      <w:r>
        <w:rPr>
          <w:rFonts w:hint="eastAsia" w:ascii="Times New Roman" w:hAnsi="Times New Roman" w:eastAsia="黑体" w:cs="Times New Roman"/>
          <w:bCs w:val="0"/>
          <w:sz w:val="22"/>
          <w:szCs w:val="15"/>
          <w:highlight w:val="none"/>
        </w:rPr>
        <w:tab/>
      </w:r>
    </w:p>
    <w:p>
      <w:pPr>
        <w:snapToGrid w:val="0"/>
        <w:spacing w:line="560" w:lineRule="exact"/>
        <w:ind w:firstLine="420" w:firstLineChars="200"/>
        <w:rPr>
          <w:rFonts w:hint="eastAsia" w:ascii="Times New Roman" w:hAnsi="Times New Roman" w:cs="Times New Roman"/>
          <w:szCs w:val="22"/>
          <w:highlight w:val="none"/>
        </w:rPr>
      </w:pPr>
      <w:r>
        <w:rPr>
          <w:rFonts w:hint="eastAsia" w:ascii="Times New Roman" w:hAnsi="Times New Roman" w:cs="Times New Roman"/>
          <w:szCs w:val="22"/>
          <w:highlight w:val="none"/>
        </w:rPr>
        <w:t>3.1 资质要求：</w:t>
      </w:r>
      <w:r>
        <w:rPr>
          <w:rFonts w:hint="eastAsia" w:ascii="Times New Roman" w:hAnsi="Times New Roman" w:cs="Times New Roman"/>
          <w:szCs w:val="22"/>
          <w:highlight w:val="none"/>
          <w:lang w:val="en-US" w:eastAsia="zh-CN"/>
        </w:rPr>
        <w:t>响应</w:t>
      </w:r>
      <w:r>
        <w:rPr>
          <w:rFonts w:hint="eastAsia" w:ascii="Times New Roman" w:hAnsi="Times New Roman" w:cs="Times New Roman"/>
          <w:szCs w:val="22"/>
          <w:highlight w:val="none"/>
        </w:rPr>
        <w:t>人须具有独立法人资格，具有有效的营业执照。</w:t>
      </w:r>
    </w:p>
    <w:p>
      <w:pPr>
        <w:snapToGrid w:val="0"/>
        <w:spacing w:line="560" w:lineRule="exact"/>
        <w:ind w:firstLine="420" w:firstLineChars="200"/>
        <w:rPr>
          <w:rFonts w:hint="eastAsia" w:ascii="Times New Roman" w:hAnsi="Times New Roman" w:cs="Times New Roman"/>
          <w:szCs w:val="22"/>
          <w:highlight w:val="none"/>
        </w:rPr>
      </w:pPr>
      <w:r>
        <w:rPr>
          <w:rFonts w:hint="eastAsia" w:ascii="Times New Roman" w:hAnsi="Times New Roman" w:cs="Times New Roman"/>
          <w:szCs w:val="22"/>
          <w:highlight w:val="none"/>
        </w:rPr>
        <w:t>3.2 承诺要求：</w:t>
      </w:r>
      <w:r>
        <w:rPr>
          <w:rFonts w:hint="eastAsia" w:ascii="Times New Roman" w:hAnsi="Times New Roman" w:cs="Times New Roman"/>
          <w:szCs w:val="22"/>
          <w:highlight w:val="none"/>
          <w:lang w:val="en-US" w:eastAsia="zh-CN"/>
        </w:rPr>
        <w:t>响应</w:t>
      </w:r>
      <w:r>
        <w:rPr>
          <w:rFonts w:hint="eastAsia" w:ascii="Times New Roman" w:hAnsi="Times New Roman" w:cs="Times New Roman"/>
          <w:szCs w:val="22"/>
          <w:highlight w:val="none"/>
        </w:rPr>
        <w:t>人所提供的产品必须是全新、未使用过的，</w:t>
      </w:r>
      <w:r>
        <w:rPr>
          <w:rFonts w:hint="eastAsia" w:ascii="Times New Roman" w:hAnsi="Times New Roman" w:cs="Times New Roman"/>
          <w:szCs w:val="22"/>
          <w:highlight w:val="none"/>
          <w:lang w:val="en-US" w:eastAsia="zh-CN"/>
        </w:rPr>
        <w:t>响应</w:t>
      </w:r>
      <w:r>
        <w:rPr>
          <w:rFonts w:hint="eastAsia" w:ascii="Times New Roman" w:hAnsi="Times New Roman" w:cs="Times New Roman"/>
          <w:szCs w:val="22"/>
          <w:highlight w:val="none"/>
        </w:rPr>
        <w:t xml:space="preserve">时提供电芯生产厂家出具的不在本项目中使用梯次电芯的承诺函 (加盖电芯生产厂家单位公章，并附联系电话) </w:t>
      </w:r>
      <w:r>
        <w:rPr>
          <w:rFonts w:hint="eastAsia" w:ascii="Times New Roman" w:hAnsi="Times New Roman" w:cs="Times New Roman"/>
          <w:b/>
          <w:bCs/>
          <w:szCs w:val="22"/>
          <w:highlight w:val="none"/>
        </w:rPr>
        <w:t>【承诺格式自拟，未承诺的按无效</w:t>
      </w:r>
      <w:r>
        <w:rPr>
          <w:rFonts w:hint="eastAsia" w:ascii="Times New Roman" w:hAnsi="Times New Roman" w:cs="Times New Roman"/>
          <w:b/>
          <w:bCs/>
          <w:szCs w:val="22"/>
          <w:highlight w:val="none"/>
          <w:lang w:val="en-US" w:eastAsia="zh-CN"/>
        </w:rPr>
        <w:t>响应</w:t>
      </w:r>
      <w:r>
        <w:rPr>
          <w:rFonts w:hint="eastAsia" w:ascii="Times New Roman" w:hAnsi="Times New Roman" w:cs="Times New Roman"/>
          <w:b/>
          <w:bCs/>
          <w:szCs w:val="22"/>
          <w:highlight w:val="none"/>
        </w:rPr>
        <w:t>处理】。</w:t>
      </w:r>
    </w:p>
    <w:p>
      <w:pPr>
        <w:snapToGrid w:val="0"/>
        <w:spacing w:line="560" w:lineRule="exact"/>
        <w:ind w:firstLine="420" w:firstLineChars="200"/>
        <w:rPr>
          <w:rFonts w:hint="eastAsia" w:ascii="Times New Roman" w:hAnsi="Times New Roman" w:cs="Times New Roman"/>
          <w:szCs w:val="22"/>
          <w:highlight w:val="none"/>
        </w:rPr>
      </w:pPr>
      <w:r>
        <w:rPr>
          <w:rFonts w:hint="eastAsia" w:ascii="Times New Roman" w:hAnsi="Times New Roman" w:cs="Times New Roman"/>
          <w:szCs w:val="22"/>
          <w:highlight w:val="none"/>
        </w:rPr>
        <w:t>3.3 本次</w:t>
      </w:r>
      <w:r>
        <w:rPr>
          <w:rFonts w:hint="eastAsia" w:ascii="Times New Roman" w:hAnsi="Times New Roman" w:cs="Times New Roman"/>
          <w:szCs w:val="22"/>
          <w:highlight w:val="none"/>
          <w:lang w:val="en-US" w:eastAsia="zh-CN"/>
        </w:rPr>
        <w:t>询比</w:t>
      </w:r>
      <w:r>
        <w:rPr>
          <w:rFonts w:hint="eastAsia" w:ascii="Times New Roman" w:hAnsi="Times New Roman" w:cs="Times New Roman"/>
          <w:szCs w:val="22"/>
          <w:highlight w:val="none"/>
        </w:rPr>
        <w:t>不接受联合体</w:t>
      </w:r>
      <w:r>
        <w:rPr>
          <w:rFonts w:hint="eastAsia" w:ascii="Times New Roman" w:hAnsi="Times New Roman" w:cs="Times New Roman"/>
          <w:szCs w:val="22"/>
          <w:highlight w:val="none"/>
          <w:lang w:val="en-US" w:eastAsia="zh-CN"/>
        </w:rPr>
        <w:t>响应</w:t>
      </w:r>
      <w:r>
        <w:rPr>
          <w:rFonts w:hint="eastAsia" w:ascii="Times New Roman" w:hAnsi="Times New Roman" w:cs="Times New Roman"/>
          <w:szCs w:val="22"/>
          <w:highlight w:val="none"/>
        </w:rPr>
        <w:t>。</w:t>
      </w:r>
    </w:p>
    <w:p>
      <w:pPr>
        <w:snapToGrid w:val="0"/>
        <w:spacing w:line="560" w:lineRule="exact"/>
        <w:ind w:firstLine="420" w:firstLineChars="200"/>
        <w:rPr>
          <w:rFonts w:hint="eastAsia" w:ascii="Times New Roman" w:hAnsi="Times New Roman" w:cs="Times New Roman"/>
          <w:szCs w:val="22"/>
          <w:highlight w:val="none"/>
        </w:rPr>
      </w:pPr>
      <w:r>
        <w:rPr>
          <w:rFonts w:hint="eastAsia" w:ascii="Times New Roman" w:hAnsi="Times New Roman" w:cs="Times New Roman"/>
          <w:szCs w:val="22"/>
          <w:highlight w:val="none"/>
        </w:rPr>
        <w:t>3.4 信用要求：在</w:t>
      </w:r>
      <w:r>
        <w:rPr>
          <w:rFonts w:hint="eastAsia" w:ascii="Times New Roman" w:hAnsi="Times New Roman" w:cs="Times New Roman"/>
          <w:szCs w:val="22"/>
          <w:highlight w:val="none"/>
          <w:lang w:val="en-US" w:eastAsia="zh-CN"/>
        </w:rPr>
        <w:t>询比</w:t>
      </w:r>
      <w:r>
        <w:rPr>
          <w:rFonts w:hint="eastAsia" w:ascii="Times New Roman" w:hAnsi="Times New Roman" w:cs="Times New Roman"/>
          <w:szCs w:val="22"/>
          <w:highlight w:val="none"/>
        </w:rPr>
        <w:t>截止时间前，</w:t>
      </w:r>
      <w:r>
        <w:rPr>
          <w:rFonts w:hint="eastAsia" w:ascii="Times New Roman" w:hAnsi="Times New Roman" w:cs="Times New Roman"/>
          <w:szCs w:val="22"/>
          <w:highlight w:val="none"/>
          <w:lang w:val="en-US" w:eastAsia="zh-CN"/>
        </w:rPr>
        <w:t>响应</w:t>
      </w:r>
      <w:r>
        <w:rPr>
          <w:rFonts w:hint="eastAsia" w:ascii="Times New Roman" w:hAnsi="Times New Roman" w:cs="Times New Roman"/>
          <w:szCs w:val="22"/>
          <w:highlight w:val="none"/>
        </w:rPr>
        <w:t>人未存在以下不良信用记录（</w:t>
      </w:r>
      <w:r>
        <w:rPr>
          <w:rFonts w:hint="eastAsia" w:ascii="Times New Roman" w:hAnsi="Times New Roman" w:cs="Times New Roman"/>
          <w:szCs w:val="22"/>
          <w:highlight w:val="none"/>
          <w:lang w:val="en-US" w:eastAsia="zh-CN"/>
        </w:rPr>
        <w:t>询比</w:t>
      </w:r>
      <w:r>
        <w:rPr>
          <w:rFonts w:hint="eastAsia" w:ascii="Times New Roman" w:hAnsi="Times New Roman" w:cs="Times New Roman"/>
          <w:szCs w:val="22"/>
          <w:highlight w:val="none"/>
        </w:rPr>
        <w:t>时以现场查询为准）：</w:t>
      </w:r>
    </w:p>
    <w:p>
      <w:pPr>
        <w:snapToGrid w:val="0"/>
        <w:spacing w:line="560" w:lineRule="exact"/>
        <w:ind w:firstLine="420" w:firstLineChars="200"/>
        <w:rPr>
          <w:rFonts w:hint="eastAsia" w:ascii="Times New Roman" w:hAnsi="Times New Roman" w:cs="Times New Roman"/>
          <w:szCs w:val="22"/>
          <w:highlight w:val="none"/>
        </w:rPr>
      </w:pPr>
      <w:r>
        <w:rPr>
          <w:rFonts w:hint="eastAsia" w:ascii="Times New Roman" w:hAnsi="Times New Roman" w:cs="Times New Roman"/>
          <w:szCs w:val="22"/>
          <w:highlight w:val="none"/>
        </w:rPr>
        <w:t>（1）在国家企业信用信息公示系统（http://www.gsxt.gov.cn/）中被列入严重违法失信企业名单；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420" w:firstLineChars="200"/>
        <w:jc w:val="left"/>
        <w:textAlignment w:val="auto"/>
        <w:rPr>
          <w:rFonts w:hint="eastAsia" w:ascii="Times New Roman" w:hAnsi="Times New Roman" w:cs="Times New Roman"/>
          <w:szCs w:val="22"/>
          <w:highlight w:val="none"/>
        </w:rPr>
      </w:pPr>
      <w:r>
        <w:rPr>
          <w:rFonts w:hint="eastAsia" w:ascii="Times New Roman" w:hAnsi="Times New Roman" w:cs="Times New Roman"/>
          <w:szCs w:val="22"/>
          <w:highlight w:val="none"/>
        </w:rPr>
        <w:t>（2）在“信用中国”网站（http://www.creditchina.gov.cn/）中被列入失信被执行人名单。</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420" w:firstLineChars="200"/>
        <w:jc w:val="left"/>
        <w:textAlignment w:val="auto"/>
        <w:rPr>
          <w:rFonts w:ascii="Times New Roman" w:hAnsi="Times New Roman" w:cs="Times New Roman"/>
          <w:szCs w:val="22"/>
          <w:highlight w:val="none"/>
        </w:rPr>
      </w:pPr>
      <w:r>
        <w:rPr>
          <w:rFonts w:ascii="Times New Roman" w:hAnsi="Times New Roman" w:cs="Times New Roman"/>
          <w:szCs w:val="22"/>
          <w:highlight w:val="none"/>
        </w:rPr>
        <w:t>3.</w:t>
      </w:r>
      <w:r>
        <w:rPr>
          <w:rFonts w:hint="eastAsia" w:ascii="Times New Roman" w:hAnsi="Times New Roman" w:cs="Times New Roman"/>
          <w:szCs w:val="22"/>
          <w:highlight w:val="none"/>
          <w:lang w:val="en-US" w:eastAsia="zh-CN"/>
        </w:rPr>
        <w:t>5</w:t>
      </w:r>
      <w:r>
        <w:rPr>
          <w:rFonts w:ascii="Times New Roman" w:hAnsi="Times New Roman" w:cs="Times New Roman"/>
          <w:szCs w:val="22"/>
          <w:highlight w:val="none"/>
        </w:rPr>
        <w:t xml:space="preserve"> 单位负责人为同一人或者存在控股、管理关系的不同单位，不得同时参加同一合同包报价，否则相关响应文件均无效。</w:t>
      </w:r>
    </w:p>
    <w:p>
      <w:pPr>
        <w:snapToGrid w:val="0"/>
        <w:spacing w:line="440" w:lineRule="exact"/>
        <w:ind w:firstLine="420" w:firstLineChars="200"/>
        <w:rPr>
          <w:highlight w:val="none"/>
        </w:rPr>
      </w:pPr>
      <w:r>
        <w:rPr>
          <w:rFonts w:hint="eastAsia" w:ascii="Times New Roman" w:hAnsi="Times New Roman" w:cs="Times New Roman"/>
          <w:szCs w:val="22"/>
          <w:highlight w:val="none"/>
        </w:rPr>
        <w:t>3.</w:t>
      </w:r>
      <w:r>
        <w:rPr>
          <w:rFonts w:hint="eastAsia" w:ascii="Times New Roman" w:hAnsi="Times New Roman" w:cs="Times New Roman"/>
          <w:szCs w:val="22"/>
          <w:highlight w:val="none"/>
          <w:lang w:val="en-US" w:eastAsia="zh-CN"/>
        </w:rPr>
        <w:t>6</w:t>
      </w:r>
      <w:r>
        <w:rPr>
          <w:rFonts w:hint="eastAsia" w:ascii="Times New Roman" w:hAnsi="Times New Roman" w:cs="Times New Roman"/>
          <w:szCs w:val="22"/>
          <w:highlight w:val="none"/>
        </w:rPr>
        <w:t xml:space="preserve"> 同一品牌同一型号产品只接受一个供应商参加本次询比，同一品牌同一型号产品的制造商及代理商，或者同一品牌同一型号产品的多个代理商(多于1个)不得同时参加本项目同一个合同包询比，否则相关响应文件均将被否决。（如有）</w:t>
      </w:r>
    </w:p>
    <w:p>
      <w:pPr>
        <w:pStyle w:val="3"/>
        <w:numPr>
          <w:ilvl w:val="0"/>
          <w:numId w:val="0"/>
        </w:numPr>
        <w:snapToGrid w:val="0"/>
        <w:spacing w:before="120" w:after="120" w:line="560" w:lineRule="exact"/>
        <w:ind w:left="420" w:leftChars="0"/>
        <w:rPr>
          <w:rFonts w:ascii="Times New Roman" w:hAnsi="Times New Roman" w:eastAsia="黑体" w:cs="Times New Roman"/>
          <w:bCs w:val="0"/>
          <w:sz w:val="22"/>
          <w:szCs w:val="15"/>
          <w:highlight w:val="none"/>
        </w:rPr>
      </w:pPr>
      <w:bookmarkStart w:id="26" w:name="_Toc29452_WPSOffice_Level2"/>
      <w:bookmarkStart w:id="27" w:name="_Toc2996_WPSOffice_Level2"/>
      <w:bookmarkStart w:id="28" w:name="_Toc1994"/>
      <w:bookmarkStart w:id="29" w:name="_Toc525632588"/>
      <w:bookmarkStart w:id="30" w:name="_Toc25666_WPSOffice_Level2"/>
      <w:bookmarkStart w:id="31" w:name="_Toc4751"/>
      <w:bookmarkStart w:id="32" w:name="_Toc4109_WPSOffice_Level2"/>
      <w:r>
        <w:rPr>
          <w:rFonts w:hint="eastAsia" w:ascii="Times New Roman" w:hAnsi="Times New Roman" w:eastAsia="黑体" w:cs="Times New Roman"/>
          <w:bCs w:val="0"/>
          <w:sz w:val="22"/>
          <w:szCs w:val="15"/>
          <w:highlight w:val="none"/>
          <w:lang w:val="en-US" w:eastAsia="zh-CN"/>
        </w:rPr>
        <w:t xml:space="preserve">4. </w:t>
      </w:r>
      <w:r>
        <w:rPr>
          <w:rFonts w:hint="eastAsia" w:ascii="Times New Roman" w:hAnsi="Times New Roman" w:eastAsia="黑体" w:cs="Times New Roman"/>
          <w:bCs w:val="0"/>
          <w:sz w:val="22"/>
          <w:szCs w:val="15"/>
          <w:highlight w:val="none"/>
        </w:rPr>
        <w:t>询比文件</w:t>
      </w:r>
      <w:r>
        <w:rPr>
          <w:rFonts w:ascii="Times New Roman" w:hAnsi="Times New Roman" w:eastAsia="黑体" w:cs="Times New Roman"/>
          <w:bCs w:val="0"/>
          <w:sz w:val="22"/>
          <w:szCs w:val="15"/>
          <w:highlight w:val="none"/>
        </w:rPr>
        <w:t>的获取</w:t>
      </w:r>
      <w:bookmarkEnd w:id="26"/>
      <w:bookmarkEnd w:id="27"/>
      <w:bookmarkEnd w:id="28"/>
      <w:bookmarkEnd w:id="29"/>
      <w:bookmarkEnd w:id="30"/>
      <w:bookmarkEnd w:id="31"/>
      <w:bookmarkEnd w:id="32"/>
    </w:p>
    <w:p>
      <w:pPr>
        <w:snapToGrid w:val="0"/>
        <w:spacing w:line="560" w:lineRule="exact"/>
        <w:ind w:firstLine="577" w:firstLineChars="275"/>
        <w:rPr>
          <w:rFonts w:ascii="Times New Roman" w:hAnsi="Times New Roman" w:cs="Times New Roman"/>
          <w:szCs w:val="22"/>
          <w:highlight w:val="none"/>
        </w:rPr>
      </w:pPr>
      <w:r>
        <w:rPr>
          <w:rFonts w:ascii="Times New Roman" w:hAnsi="Times New Roman" w:cs="Times New Roman"/>
          <w:szCs w:val="22"/>
          <w:highlight w:val="none"/>
        </w:rPr>
        <w:t>供应商应在递交响应文件的截止时间前登录安徽</w:t>
      </w:r>
      <w:r>
        <w:rPr>
          <w:rFonts w:hint="eastAsia" w:ascii="Times New Roman" w:hAnsi="Times New Roman" w:cs="Times New Roman"/>
          <w:szCs w:val="22"/>
          <w:highlight w:val="none"/>
        </w:rPr>
        <w:t>交运集团网站（</w:t>
      </w:r>
      <w:r>
        <w:rPr>
          <w:rFonts w:hint="eastAsia" w:asciiTheme="minorEastAsia" w:hAnsiTheme="minorEastAsia" w:cstheme="minorEastAsia"/>
          <w:szCs w:val="21"/>
          <w:highlight w:val="none"/>
        </w:rPr>
        <w:t>http://www.ahjyjt.com.cn/</w:t>
      </w:r>
      <w:r>
        <w:rPr>
          <w:rFonts w:hint="eastAsia" w:ascii="Times New Roman" w:hAnsi="Times New Roman" w:cs="Times New Roman"/>
          <w:szCs w:val="22"/>
          <w:highlight w:val="none"/>
        </w:rPr>
        <w:t>）</w:t>
      </w:r>
      <w:r>
        <w:rPr>
          <w:rFonts w:ascii="Times New Roman" w:hAnsi="Times New Roman" w:cs="Times New Roman"/>
          <w:szCs w:val="22"/>
          <w:highlight w:val="none"/>
        </w:rPr>
        <w:t>，选择所参加的合同包</w:t>
      </w:r>
      <w:r>
        <w:rPr>
          <w:rFonts w:hint="eastAsia" w:ascii="Times New Roman" w:hAnsi="Times New Roman" w:cs="Times New Roman"/>
          <w:szCs w:val="22"/>
          <w:highlight w:val="none"/>
        </w:rPr>
        <w:t>，</w:t>
      </w:r>
      <w:r>
        <w:rPr>
          <w:rFonts w:ascii="Times New Roman" w:hAnsi="Times New Roman" w:cs="Times New Roman"/>
          <w:szCs w:val="22"/>
          <w:highlight w:val="none"/>
        </w:rPr>
        <w:t>自行下载</w:t>
      </w:r>
      <w:r>
        <w:rPr>
          <w:rFonts w:hint="eastAsia" w:ascii="Times New Roman" w:hAnsi="Times New Roman" w:cs="Times New Roman"/>
          <w:szCs w:val="22"/>
          <w:highlight w:val="none"/>
        </w:rPr>
        <w:t>询比文件</w:t>
      </w:r>
      <w:r>
        <w:rPr>
          <w:rFonts w:ascii="Times New Roman" w:hAnsi="Times New Roman" w:cs="Times New Roman"/>
          <w:szCs w:val="22"/>
          <w:highlight w:val="none"/>
        </w:rPr>
        <w:t>及相关资料</w:t>
      </w:r>
      <w:r>
        <w:rPr>
          <w:rFonts w:ascii="Times New Roman" w:hAnsi="Times New Roman" w:cs="Times New Roman"/>
          <w:szCs w:val="21"/>
          <w:highlight w:val="none"/>
        </w:rPr>
        <w:t>。</w:t>
      </w:r>
    </w:p>
    <w:p>
      <w:pPr>
        <w:pStyle w:val="3"/>
        <w:numPr>
          <w:ilvl w:val="0"/>
          <w:numId w:val="0"/>
        </w:numPr>
        <w:snapToGrid w:val="0"/>
        <w:spacing w:before="120" w:after="120" w:line="560" w:lineRule="exact"/>
        <w:ind w:left="17" w:leftChars="0" w:firstLine="403" w:firstLineChars="0"/>
        <w:rPr>
          <w:rFonts w:ascii="Times New Roman" w:hAnsi="Times New Roman" w:eastAsia="黑体" w:cs="Times New Roman"/>
          <w:bCs w:val="0"/>
          <w:sz w:val="22"/>
          <w:szCs w:val="15"/>
          <w:highlight w:val="none"/>
          <w:u w:val="none"/>
        </w:rPr>
      </w:pPr>
      <w:bookmarkStart w:id="33" w:name="_Toc726"/>
      <w:bookmarkStart w:id="34" w:name="_Toc525632589"/>
      <w:r>
        <w:rPr>
          <w:rFonts w:hint="eastAsia" w:ascii="Times New Roman" w:hAnsi="Times New Roman" w:eastAsia="黑体" w:cs="Times New Roman"/>
          <w:b/>
          <w:bCs w:val="0"/>
          <w:kern w:val="2"/>
          <w:sz w:val="22"/>
          <w:szCs w:val="15"/>
          <w:highlight w:val="none"/>
          <w:u w:val="none"/>
          <w:lang w:val="en-US" w:eastAsia="zh-CN" w:bidi="ar-SA"/>
        </w:rPr>
        <w:t>5</w:t>
      </w:r>
      <w:r>
        <w:rPr>
          <w:rFonts w:hint="default" w:ascii="Times New Roman" w:hAnsi="Times New Roman" w:eastAsia="黑体" w:cs="Times New Roman"/>
          <w:b/>
          <w:bCs w:val="0"/>
          <w:kern w:val="2"/>
          <w:sz w:val="22"/>
          <w:szCs w:val="15"/>
          <w:highlight w:val="none"/>
          <w:u w:val="none"/>
          <w:lang w:val="en-US" w:eastAsia="zh-CN" w:bidi="ar-SA"/>
        </w:rPr>
        <w:t>．</w:t>
      </w:r>
      <w:r>
        <w:rPr>
          <w:rFonts w:ascii="Times New Roman" w:hAnsi="Times New Roman" w:eastAsia="黑体" w:cs="Times New Roman"/>
          <w:bCs w:val="0"/>
          <w:sz w:val="22"/>
          <w:szCs w:val="15"/>
          <w:highlight w:val="none"/>
          <w:u w:val="none"/>
        </w:rPr>
        <w:t>响应文件的递交</w:t>
      </w:r>
      <w:bookmarkEnd w:id="33"/>
      <w:bookmarkEnd w:id="34"/>
    </w:p>
    <w:p>
      <w:pPr>
        <w:snapToGrid w:val="0"/>
        <w:spacing w:line="560" w:lineRule="exact"/>
        <w:ind w:firstLine="420" w:firstLineChars="200"/>
        <w:rPr>
          <w:rFonts w:ascii="Times New Roman" w:hAnsi="Times New Roman" w:cs="Times New Roman"/>
          <w:szCs w:val="22"/>
          <w:highlight w:val="none"/>
          <w:u w:val="none"/>
        </w:rPr>
      </w:pPr>
      <w:r>
        <w:rPr>
          <w:rFonts w:ascii="Times New Roman" w:hAnsi="Times New Roman" w:cs="Times New Roman"/>
          <w:szCs w:val="22"/>
          <w:highlight w:val="none"/>
          <w:u w:val="none"/>
        </w:rPr>
        <w:t>响应文件递交的截止时间为</w:t>
      </w:r>
      <w:r>
        <w:rPr>
          <w:rFonts w:hint="eastAsia" w:ascii="Times New Roman" w:hAnsi="Times New Roman" w:cs="Times New Roman"/>
          <w:szCs w:val="22"/>
          <w:highlight w:val="none"/>
          <w:u w:val="single"/>
        </w:rPr>
        <w:t>202</w:t>
      </w:r>
      <w:r>
        <w:rPr>
          <w:rFonts w:hint="eastAsia" w:ascii="Times New Roman" w:hAnsi="Times New Roman" w:cs="Times New Roman"/>
          <w:szCs w:val="22"/>
          <w:highlight w:val="none"/>
          <w:u w:val="single"/>
          <w:lang w:val="en-US" w:eastAsia="zh-CN"/>
        </w:rPr>
        <w:t xml:space="preserve">4 </w:t>
      </w:r>
      <w:r>
        <w:rPr>
          <w:rFonts w:ascii="Times New Roman" w:hAnsi="Times New Roman" w:cs="Times New Roman"/>
          <w:szCs w:val="22"/>
          <w:highlight w:val="none"/>
          <w:u w:val="single"/>
        </w:rPr>
        <w:t>年</w:t>
      </w:r>
      <w:r>
        <w:rPr>
          <w:rFonts w:hint="eastAsia"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1</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u w:val="single"/>
        </w:rPr>
        <w:t>月</w:t>
      </w:r>
      <w:r>
        <w:rPr>
          <w:rFonts w:hint="eastAsia"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11</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u w:val="single"/>
        </w:rPr>
        <w:t>日</w:t>
      </w:r>
      <w:r>
        <w:rPr>
          <w:rFonts w:hint="eastAsia"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9</w:t>
      </w:r>
      <w:r>
        <w:rPr>
          <w:rFonts w:hint="eastAsia" w:ascii="Times New Roman" w:hAnsi="Times New Roman" w:cs="Times New Roman"/>
          <w:szCs w:val="22"/>
          <w:highlight w:val="none"/>
          <w:u w:val="single"/>
        </w:rPr>
        <w:t xml:space="preserve"> </w:t>
      </w:r>
      <w:r>
        <w:rPr>
          <w:rFonts w:ascii="Times New Roman" w:hAnsi="Times New Roman" w:cs="Times New Roman"/>
          <w:szCs w:val="22"/>
          <w:highlight w:val="none"/>
          <w:u w:val="single"/>
        </w:rPr>
        <w:t>时</w:t>
      </w:r>
      <w:r>
        <w:rPr>
          <w:rFonts w:hint="eastAsia" w:ascii="Times New Roman" w:hAnsi="Times New Roman" w:cs="Times New Roman"/>
          <w:szCs w:val="22"/>
          <w:highlight w:val="none"/>
          <w:u w:val="single"/>
          <w:lang w:val="en-US" w:eastAsia="zh-CN"/>
        </w:rPr>
        <w:t>3</w:t>
      </w:r>
      <w:r>
        <w:rPr>
          <w:rFonts w:hint="eastAsia" w:ascii="Times New Roman" w:hAnsi="Times New Roman" w:cs="Times New Roman"/>
          <w:szCs w:val="22"/>
          <w:highlight w:val="none"/>
          <w:u w:val="single"/>
        </w:rPr>
        <w:t>0</w:t>
      </w:r>
      <w:r>
        <w:rPr>
          <w:rFonts w:ascii="Times New Roman" w:hAnsi="Times New Roman" w:cs="Times New Roman"/>
          <w:szCs w:val="22"/>
          <w:highlight w:val="none"/>
          <w:u w:val="single"/>
        </w:rPr>
        <w:t>分</w:t>
      </w:r>
      <w:r>
        <w:rPr>
          <w:rFonts w:ascii="Times New Roman" w:hAnsi="Times New Roman" w:cs="Times New Roman"/>
          <w:szCs w:val="22"/>
          <w:highlight w:val="none"/>
          <w:u w:val="none"/>
        </w:rPr>
        <w:t>，供应商的法定代表人或其授权代理人应于截止时间前将响应文件</w:t>
      </w:r>
      <w:r>
        <w:rPr>
          <w:rFonts w:hint="eastAsia" w:ascii="Times New Roman" w:hAnsi="Times New Roman" w:cs="Times New Roman"/>
          <w:szCs w:val="22"/>
          <w:highlight w:val="none"/>
          <w:u w:val="none"/>
        </w:rPr>
        <w:t>递交至合肥市胜利路35号，交通饭店三楼汽车销售有限公司</w:t>
      </w:r>
      <w:r>
        <w:rPr>
          <w:rFonts w:ascii="Times New Roman" w:hAnsi="Times New Roman" w:cs="Times New Roman"/>
          <w:szCs w:val="22"/>
          <w:highlight w:val="none"/>
          <w:u w:val="none"/>
        </w:rPr>
        <w:t>（地点）。</w:t>
      </w:r>
    </w:p>
    <w:p>
      <w:pPr>
        <w:pStyle w:val="3"/>
        <w:numPr>
          <w:ilvl w:val="0"/>
          <w:numId w:val="0"/>
        </w:numPr>
        <w:snapToGrid w:val="0"/>
        <w:spacing w:before="120" w:after="120" w:line="560" w:lineRule="exact"/>
        <w:ind w:left="17" w:leftChars="0" w:firstLine="403" w:firstLineChars="0"/>
        <w:rPr>
          <w:rFonts w:ascii="Times New Roman" w:hAnsi="Times New Roman" w:eastAsia="黑体" w:cs="Times New Roman"/>
          <w:bCs w:val="0"/>
          <w:sz w:val="22"/>
          <w:szCs w:val="15"/>
          <w:highlight w:val="none"/>
          <w:u w:val="none"/>
        </w:rPr>
      </w:pPr>
      <w:bookmarkStart w:id="35" w:name="_Toc22719"/>
      <w:bookmarkStart w:id="36" w:name="_Toc525632591"/>
      <w:r>
        <w:rPr>
          <w:rFonts w:hint="eastAsia" w:ascii="Times New Roman" w:hAnsi="Times New Roman" w:eastAsia="黑体" w:cs="Times New Roman"/>
          <w:b/>
          <w:bCs w:val="0"/>
          <w:kern w:val="2"/>
          <w:sz w:val="22"/>
          <w:szCs w:val="15"/>
          <w:highlight w:val="none"/>
          <w:u w:val="none"/>
          <w:lang w:val="en-US" w:eastAsia="zh-CN" w:bidi="ar-SA"/>
        </w:rPr>
        <w:t>6</w:t>
      </w:r>
      <w:r>
        <w:rPr>
          <w:rFonts w:hint="default" w:ascii="Times New Roman" w:hAnsi="Times New Roman" w:eastAsia="黑体" w:cs="Times New Roman"/>
          <w:b/>
          <w:bCs w:val="0"/>
          <w:kern w:val="2"/>
          <w:sz w:val="22"/>
          <w:szCs w:val="15"/>
          <w:highlight w:val="none"/>
          <w:u w:val="none"/>
          <w:lang w:val="en-US" w:eastAsia="zh-CN" w:bidi="ar-SA"/>
        </w:rPr>
        <w:t>．</w:t>
      </w:r>
      <w:r>
        <w:rPr>
          <w:rFonts w:ascii="Times New Roman" w:hAnsi="Times New Roman" w:eastAsia="黑体" w:cs="Times New Roman"/>
          <w:bCs w:val="0"/>
          <w:sz w:val="22"/>
          <w:szCs w:val="15"/>
          <w:highlight w:val="none"/>
          <w:u w:val="none"/>
        </w:rPr>
        <w:t>响应文件启封</w:t>
      </w:r>
    </w:p>
    <w:p>
      <w:pPr>
        <w:snapToGrid w:val="0"/>
        <w:spacing w:line="56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u w:val="none"/>
        </w:rPr>
        <w:t>响应文件的递交截止时间到后，采购人将于</w:t>
      </w:r>
      <w:r>
        <w:rPr>
          <w:rFonts w:hint="eastAsia" w:ascii="Times New Roman" w:hAnsi="Times New Roman" w:cs="Times New Roman"/>
          <w:szCs w:val="22"/>
          <w:highlight w:val="none"/>
          <w:u w:val="none"/>
        </w:rPr>
        <w:t>交通饭店三楼会议室</w:t>
      </w:r>
      <w:r>
        <w:rPr>
          <w:rFonts w:ascii="Times New Roman" w:hAnsi="Times New Roman" w:cs="Times New Roman"/>
          <w:szCs w:val="22"/>
          <w:highlight w:val="none"/>
          <w:u w:val="none"/>
        </w:rPr>
        <w:t>（地点）组织进</w:t>
      </w:r>
      <w:r>
        <w:rPr>
          <w:rFonts w:ascii="Times New Roman" w:hAnsi="Times New Roman" w:cs="Times New Roman"/>
          <w:szCs w:val="22"/>
          <w:highlight w:val="none"/>
        </w:rPr>
        <w:t>行响应文件的启封。供应商的法定代表人或授权代理人应携带本人身份证</w:t>
      </w:r>
      <w:r>
        <w:rPr>
          <w:rFonts w:hint="eastAsia" w:ascii="Times New Roman" w:hAnsi="Times New Roman" w:cs="Times New Roman"/>
          <w:szCs w:val="22"/>
          <w:highlight w:val="none"/>
        </w:rPr>
        <w:t>、授权代理人应携带授权委托书</w:t>
      </w:r>
      <w:r>
        <w:rPr>
          <w:rFonts w:ascii="Times New Roman" w:hAnsi="Times New Roman" w:cs="Times New Roman"/>
          <w:szCs w:val="22"/>
          <w:highlight w:val="none"/>
        </w:rPr>
        <w:t>准时参加启封会议。</w:t>
      </w:r>
    </w:p>
    <w:p>
      <w:pPr>
        <w:pStyle w:val="3"/>
        <w:numPr>
          <w:ilvl w:val="0"/>
          <w:numId w:val="0"/>
        </w:numPr>
        <w:snapToGrid w:val="0"/>
        <w:spacing w:before="120" w:after="120" w:line="560" w:lineRule="exact"/>
        <w:ind w:left="17" w:leftChars="0" w:firstLine="403" w:firstLineChars="0"/>
        <w:rPr>
          <w:rFonts w:ascii="Times New Roman" w:hAnsi="Times New Roman" w:eastAsia="黑体" w:cs="Times New Roman"/>
          <w:bCs w:val="0"/>
          <w:sz w:val="22"/>
          <w:szCs w:val="15"/>
          <w:highlight w:val="none"/>
        </w:rPr>
      </w:pPr>
      <w:r>
        <w:rPr>
          <w:rFonts w:hint="eastAsia" w:ascii="Times New Roman" w:hAnsi="Times New Roman" w:eastAsia="黑体" w:cs="Times New Roman"/>
          <w:b/>
          <w:bCs w:val="0"/>
          <w:kern w:val="2"/>
          <w:sz w:val="22"/>
          <w:szCs w:val="15"/>
          <w:highlight w:val="none"/>
          <w:lang w:val="en-US" w:eastAsia="zh-CN" w:bidi="ar-SA"/>
        </w:rPr>
        <w:t>7</w:t>
      </w:r>
      <w:r>
        <w:rPr>
          <w:rFonts w:hint="default" w:ascii="Times New Roman" w:hAnsi="Times New Roman" w:eastAsia="黑体" w:cs="Times New Roman"/>
          <w:b/>
          <w:bCs w:val="0"/>
          <w:kern w:val="2"/>
          <w:sz w:val="22"/>
          <w:szCs w:val="15"/>
          <w:highlight w:val="none"/>
          <w:lang w:val="en-US" w:eastAsia="zh-CN" w:bidi="ar-SA"/>
        </w:rPr>
        <w:t>．</w:t>
      </w:r>
      <w:r>
        <w:rPr>
          <w:rFonts w:hint="eastAsia" w:ascii="Times New Roman" w:hAnsi="Times New Roman" w:eastAsia="黑体" w:cs="Times New Roman"/>
          <w:bCs w:val="0"/>
          <w:sz w:val="22"/>
          <w:szCs w:val="15"/>
          <w:highlight w:val="none"/>
        </w:rPr>
        <w:t>响应保证金</w:t>
      </w:r>
    </w:p>
    <w:p>
      <w:pPr>
        <w:pStyle w:val="6"/>
        <w:ind w:firstLine="420" w:firstLineChars="200"/>
        <w:rPr>
          <w:rFonts w:hint="eastAsia" w:ascii="Times New Roman" w:hAnsi="Times New Roman" w:cs="Times New Roman"/>
          <w:b/>
          <w:bCs/>
          <w:szCs w:val="22"/>
          <w:highlight w:val="none"/>
        </w:rPr>
      </w:pPr>
      <w:r>
        <w:rPr>
          <w:rFonts w:hint="eastAsia" w:ascii="Times New Roman" w:hAnsi="Times New Roman"/>
          <w:b w:val="0"/>
          <w:bCs w:val="0"/>
          <w:highlight w:val="none"/>
        </w:rPr>
        <w:t>本项目</w:t>
      </w:r>
      <w:r>
        <w:rPr>
          <w:rFonts w:hint="eastAsia" w:ascii="Times New Roman" w:hAnsi="Times New Roman"/>
          <w:b w:val="0"/>
          <w:bCs w:val="0"/>
          <w:highlight w:val="none"/>
          <w:lang w:val="en-US" w:eastAsia="zh-CN"/>
        </w:rPr>
        <w:t>不收取</w:t>
      </w:r>
      <w:r>
        <w:rPr>
          <w:rFonts w:hint="eastAsia" w:ascii="Times New Roman" w:hAnsi="Times New Roman"/>
          <w:b w:val="0"/>
          <w:bCs w:val="0"/>
          <w:highlight w:val="none"/>
        </w:rPr>
        <w:t>响应保证金，</w:t>
      </w:r>
      <w:r>
        <w:rPr>
          <w:rFonts w:hint="eastAsia" w:ascii="Times New Roman" w:hAnsi="Times New Roman"/>
          <w:b w:val="0"/>
          <w:bCs w:val="0"/>
          <w:highlight w:val="none"/>
          <w:lang w:val="en-US" w:eastAsia="zh-CN"/>
        </w:rPr>
        <w:t>但</w:t>
      </w:r>
      <w:r>
        <w:rPr>
          <w:rFonts w:hint="eastAsia" w:ascii="Times New Roman" w:hAnsi="Times New Roman"/>
          <w:b w:val="0"/>
          <w:bCs w:val="0"/>
          <w:highlight w:val="none"/>
        </w:rPr>
        <w:t>需</w:t>
      </w:r>
      <w:r>
        <w:rPr>
          <w:rFonts w:hint="eastAsia" w:ascii="Times New Roman" w:hAnsi="Times New Roman"/>
          <w:b w:val="0"/>
          <w:bCs w:val="0"/>
          <w:highlight w:val="none"/>
          <w:lang w:val="en-US" w:eastAsia="zh-CN"/>
        </w:rPr>
        <w:t>填写</w:t>
      </w:r>
      <w:r>
        <w:rPr>
          <w:rFonts w:hint="eastAsia" w:ascii="Times New Roman" w:hAnsi="Times New Roman"/>
          <w:b w:val="0"/>
          <w:bCs w:val="0"/>
          <w:highlight w:val="none"/>
        </w:rPr>
        <w:t>响应报名表进行报名</w:t>
      </w:r>
      <w:r>
        <w:rPr>
          <w:rFonts w:hint="eastAsia" w:ascii="Times New Roman" w:hAnsi="Times New Roman"/>
          <w:b w:val="0"/>
          <w:bCs w:val="0"/>
          <w:highlight w:val="none"/>
          <w:lang w:eastAsia="zh-CN"/>
        </w:rPr>
        <w:t>，</w:t>
      </w:r>
      <w:r>
        <w:rPr>
          <w:rFonts w:hint="eastAsia" w:ascii="Times New Roman" w:hAnsi="Times New Roman"/>
          <w:b w:val="0"/>
          <w:bCs w:val="0"/>
          <w:highlight w:val="none"/>
          <w:lang w:val="en-US" w:eastAsia="zh-CN"/>
        </w:rPr>
        <w:t>并</w:t>
      </w:r>
      <w:r>
        <w:rPr>
          <w:rFonts w:hint="eastAsia" w:ascii="Times New Roman" w:hAnsi="Times New Roman"/>
          <w:b w:val="0"/>
          <w:bCs w:val="0"/>
          <w:highlight w:val="none"/>
        </w:rPr>
        <w:t>在</w:t>
      </w:r>
      <w:bookmarkStart w:id="190" w:name="_GoBack"/>
      <w:r>
        <w:rPr>
          <w:rFonts w:hint="eastAsia" w:ascii="Times New Roman" w:hAnsi="Times New Roman"/>
          <w:b w:val="0"/>
          <w:bCs w:val="0"/>
          <w:highlight w:val="none"/>
          <w:u w:val="single"/>
        </w:rPr>
        <w:t>202</w:t>
      </w:r>
      <w:r>
        <w:rPr>
          <w:rFonts w:hint="eastAsia" w:ascii="Times New Roman" w:hAnsi="Times New Roman"/>
          <w:b w:val="0"/>
          <w:bCs w:val="0"/>
          <w:highlight w:val="none"/>
          <w:u w:val="single"/>
          <w:lang w:val="en-US" w:eastAsia="zh-CN"/>
        </w:rPr>
        <w:t>4</w:t>
      </w:r>
      <w:r>
        <w:rPr>
          <w:rFonts w:hint="eastAsia" w:ascii="Times New Roman" w:hAnsi="Times New Roman"/>
          <w:b w:val="0"/>
          <w:bCs w:val="0"/>
          <w:highlight w:val="none"/>
          <w:u w:val="single"/>
        </w:rPr>
        <w:t xml:space="preserve">年 </w:t>
      </w:r>
      <w:r>
        <w:rPr>
          <w:rFonts w:hint="eastAsia" w:ascii="Times New Roman" w:hAnsi="Times New Roman"/>
          <w:b w:val="0"/>
          <w:bCs w:val="0"/>
          <w:highlight w:val="none"/>
          <w:u w:val="single"/>
          <w:lang w:val="en-US" w:eastAsia="zh-CN"/>
        </w:rPr>
        <w:t>1</w:t>
      </w:r>
      <w:r>
        <w:rPr>
          <w:rFonts w:hint="eastAsia" w:ascii="Times New Roman" w:hAnsi="Times New Roman"/>
          <w:b w:val="0"/>
          <w:bCs w:val="0"/>
          <w:highlight w:val="none"/>
          <w:u w:val="single"/>
        </w:rPr>
        <w:t>月</w:t>
      </w:r>
      <w:r>
        <w:rPr>
          <w:rFonts w:hint="eastAsia" w:ascii="Times New Roman" w:hAnsi="Times New Roman"/>
          <w:b w:val="0"/>
          <w:bCs w:val="0"/>
          <w:highlight w:val="none"/>
          <w:u w:val="single"/>
          <w:lang w:val="en-US" w:eastAsia="zh-CN"/>
        </w:rPr>
        <w:t>10</w:t>
      </w:r>
      <w:r>
        <w:rPr>
          <w:rFonts w:hint="eastAsia" w:ascii="Times New Roman" w:hAnsi="Times New Roman"/>
          <w:b w:val="0"/>
          <w:bCs w:val="0"/>
          <w:highlight w:val="none"/>
          <w:u w:val="single"/>
        </w:rPr>
        <w:t>日 1</w:t>
      </w:r>
      <w:r>
        <w:rPr>
          <w:rFonts w:hint="eastAsia" w:ascii="Times New Roman" w:hAnsi="Times New Roman"/>
          <w:b w:val="0"/>
          <w:bCs w:val="0"/>
          <w:highlight w:val="none"/>
          <w:u w:val="single"/>
          <w:lang w:val="en-US" w:eastAsia="zh-CN"/>
        </w:rPr>
        <w:t>6</w:t>
      </w:r>
      <w:r>
        <w:rPr>
          <w:rFonts w:hint="eastAsia" w:ascii="Times New Roman" w:hAnsi="Times New Roman"/>
          <w:b w:val="0"/>
          <w:bCs w:val="0"/>
          <w:highlight w:val="none"/>
          <w:u w:val="single"/>
        </w:rPr>
        <w:t xml:space="preserve"> ：</w:t>
      </w:r>
      <w:r>
        <w:rPr>
          <w:rFonts w:hint="eastAsia" w:ascii="Times New Roman" w:hAnsi="Times New Roman"/>
          <w:b w:val="0"/>
          <w:bCs w:val="0"/>
          <w:color w:val="auto"/>
          <w:highlight w:val="none"/>
          <w:u w:val="single"/>
        </w:rPr>
        <w:t>00</w:t>
      </w:r>
      <w:bookmarkEnd w:id="190"/>
      <w:r>
        <w:rPr>
          <w:rFonts w:hint="eastAsia" w:ascii="Times New Roman" w:hAnsi="Times New Roman"/>
          <w:b w:val="0"/>
          <w:bCs w:val="0"/>
          <w:color w:val="auto"/>
          <w:highlight w:val="none"/>
          <w:u w:val="none"/>
        </w:rPr>
        <w:t>前，将响应报名表发送至</w:t>
      </w:r>
      <w:r>
        <w:rPr>
          <w:rFonts w:hint="eastAsia" w:ascii="Times New Roman" w:hAnsi="Times New Roman" w:cs="Times New Roman"/>
          <w:b w:val="0"/>
          <w:bCs w:val="0"/>
          <w:color w:val="auto"/>
          <w:szCs w:val="22"/>
          <w:highlight w:val="none"/>
          <w:u w:val="none"/>
        </w:rPr>
        <w:t>ahjyxs@163.com进行确认报名</w:t>
      </w:r>
      <w:r>
        <w:rPr>
          <w:rFonts w:hint="eastAsia" w:ascii="Times New Roman" w:hAnsi="Times New Roman" w:cs="Times New Roman"/>
          <w:b w:val="0"/>
          <w:bCs w:val="0"/>
          <w:color w:val="auto"/>
          <w:szCs w:val="22"/>
          <w:highlight w:val="none"/>
          <w:u w:val="none"/>
          <w:lang w:eastAsia="zh-CN"/>
        </w:rPr>
        <w:t>，</w:t>
      </w:r>
      <w:r>
        <w:rPr>
          <w:rFonts w:hint="eastAsia" w:ascii="Times New Roman" w:hAnsi="Times New Roman" w:cs="Times New Roman"/>
          <w:b/>
          <w:bCs/>
          <w:color w:val="auto"/>
          <w:szCs w:val="22"/>
          <w:highlight w:val="none"/>
          <w:u w:val="none"/>
          <w:lang w:val="en-US" w:eastAsia="zh-CN"/>
        </w:rPr>
        <w:t>如无报名表视为响应无效</w:t>
      </w:r>
      <w:r>
        <w:rPr>
          <w:rFonts w:hint="eastAsia" w:ascii="Times New Roman" w:hAnsi="Times New Roman" w:cs="Times New Roman"/>
          <w:b/>
          <w:bCs/>
          <w:color w:val="auto"/>
          <w:szCs w:val="22"/>
          <w:highlight w:val="none"/>
          <w:u w:val="none"/>
        </w:rPr>
        <w:t>。</w:t>
      </w:r>
    </w:p>
    <w:p>
      <w:pPr>
        <w:pStyle w:val="6"/>
        <w:numPr>
          <w:ilvl w:val="0"/>
          <w:numId w:val="0"/>
        </w:numPr>
        <w:ind w:firstLine="442" w:firstLineChars="200"/>
        <w:rPr>
          <w:rFonts w:hint="default" w:ascii="Times New Roman" w:hAnsi="Times New Roman" w:cs="Times New Roman" w:eastAsiaTheme="minorEastAsia"/>
          <w:b/>
          <w:bCs/>
          <w:sz w:val="22"/>
          <w:szCs w:val="22"/>
          <w:highlight w:val="none"/>
          <w:lang w:val="en-US" w:eastAsia="zh-CN"/>
        </w:rPr>
      </w:pPr>
      <w:r>
        <w:rPr>
          <w:rFonts w:hint="default" w:ascii="Times New Roman" w:hAnsi="Times New Roman" w:cs="Times New Roman" w:eastAsiaTheme="minorEastAsia"/>
          <w:b/>
          <w:bCs/>
          <w:kern w:val="2"/>
          <w:sz w:val="22"/>
          <w:szCs w:val="22"/>
          <w:highlight w:val="none"/>
          <w:lang w:val="en-US" w:eastAsia="zh-CN" w:bidi="ar-SA"/>
        </w:rPr>
        <w:t>8.</w:t>
      </w:r>
      <w:r>
        <w:rPr>
          <w:rFonts w:hint="default" w:ascii="Times New Roman" w:hAnsi="Times New Roman" w:cs="Times New Roman"/>
          <w:b/>
          <w:bCs/>
          <w:sz w:val="22"/>
          <w:szCs w:val="22"/>
          <w:highlight w:val="none"/>
          <w:lang w:val="en-US" w:eastAsia="zh-CN"/>
        </w:rPr>
        <w:t xml:space="preserve"> 履约保证金</w:t>
      </w:r>
    </w:p>
    <w:p>
      <w:pPr>
        <w:pStyle w:val="6"/>
        <w:numPr>
          <w:ilvl w:val="0"/>
          <w:numId w:val="0"/>
        </w:numPr>
        <w:ind w:firstLine="420"/>
        <w:rPr>
          <w:rFonts w:hint="default" w:ascii="Times New Roman" w:hAnsi="Times New Roman" w:cs="Times New Roman"/>
          <w:b w:val="0"/>
          <w:bCs w:val="0"/>
          <w:szCs w:val="22"/>
          <w:highlight w:val="none"/>
          <w:lang w:val="en-US" w:eastAsia="zh-CN"/>
        </w:rPr>
      </w:pPr>
      <w:r>
        <w:rPr>
          <w:rFonts w:hint="eastAsia" w:ascii="Times New Roman" w:hAnsi="Times New Roman" w:cs="Times New Roman"/>
          <w:b w:val="0"/>
          <w:bCs w:val="0"/>
          <w:szCs w:val="22"/>
          <w:highlight w:val="none"/>
          <w:lang w:val="en-US" w:eastAsia="zh-CN"/>
        </w:rPr>
        <w:t>最终成交人在签订合同前需提交采购人10万元履约保证金，成交人不能按要求提交履约保证金的，视为放弃成交。履约保证金待成交人完成合同相关事项，并经验收合格后予以退还。履约保证金需从响应人基本账户转入采购人下列账户。</w:t>
      </w:r>
    </w:p>
    <w:p>
      <w:pPr>
        <w:pStyle w:val="6"/>
        <w:numPr>
          <w:ilvl w:val="0"/>
          <w:numId w:val="0"/>
        </w:numPr>
        <w:ind w:firstLine="420"/>
        <w:rPr>
          <w:rFonts w:hint="default" w:ascii="Times New Roman" w:hAnsi="Times New Roman" w:cs="Times New Roman"/>
          <w:b w:val="0"/>
          <w:bCs w:val="0"/>
          <w:szCs w:val="22"/>
          <w:highlight w:val="none"/>
          <w:lang w:val="en-US" w:eastAsia="zh-CN"/>
        </w:rPr>
      </w:pPr>
      <w:r>
        <w:rPr>
          <w:rFonts w:hint="default" w:ascii="Times New Roman" w:hAnsi="Times New Roman" w:cs="Times New Roman"/>
          <w:b w:val="0"/>
          <w:bCs w:val="0"/>
          <w:szCs w:val="22"/>
          <w:highlight w:val="none"/>
          <w:lang w:val="en-US" w:eastAsia="zh-CN"/>
        </w:rPr>
        <w:t>账户名称：安徽交运集团汽车销售有限公司</w:t>
      </w:r>
    </w:p>
    <w:p>
      <w:pPr>
        <w:pStyle w:val="6"/>
        <w:numPr>
          <w:ilvl w:val="0"/>
          <w:numId w:val="0"/>
        </w:numPr>
        <w:ind w:firstLine="420"/>
        <w:rPr>
          <w:rFonts w:hint="default" w:ascii="Times New Roman" w:hAnsi="Times New Roman" w:cs="Times New Roman"/>
          <w:b w:val="0"/>
          <w:bCs w:val="0"/>
          <w:szCs w:val="22"/>
          <w:highlight w:val="none"/>
          <w:lang w:val="en-US" w:eastAsia="zh-CN"/>
        </w:rPr>
      </w:pPr>
      <w:r>
        <w:rPr>
          <w:rFonts w:hint="default" w:ascii="Times New Roman" w:hAnsi="Times New Roman" w:cs="Times New Roman"/>
          <w:b w:val="0"/>
          <w:bCs w:val="0"/>
          <w:szCs w:val="22"/>
          <w:highlight w:val="none"/>
          <w:lang w:val="en-US" w:eastAsia="zh-CN"/>
        </w:rPr>
        <w:t>开户行：徽商银行合肥新站支行</w:t>
      </w:r>
    </w:p>
    <w:p>
      <w:pPr>
        <w:pStyle w:val="6"/>
        <w:numPr>
          <w:ilvl w:val="0"/>
          <w:numId w:val="0"/>
        </w:numPr>
        <w:ind w:firstLine="420"/>
        <w:rPr>
          <w:rFonts w:hint="default" w:ascii="Times New Roman" w:hAnsi="Times New Roman" w:cs="Times New Roman"/>
          <w:b w:val="0"/>
          <w:bCs w:val="0"/>
          <w:szCs w:val="22"/>
          <w:highlight w:val="none"/>
          <w:lang w:val="en-US" w:eastAsia="zh-CN"/>
        </w:rPr>
      </w:pPr>
      <w:r>
        <w:rPr>
          <w:rFonts w:hint="default" w:ascii="Times New Roman" w:hAnsi="Times New Roman" w:cs="Times New Roman"/>
          <w:b w:val="0"/>
          <w:bCs w:val="0"/>
          <w:szCs w:val="22"/>
          <w:highlight w:val="none"/>
          <w:lang w:val="en-US" w:eastAsia="zh-CN"/>
        </w:rPr>
        <w:t>账号：1024 2010 2100 0343 519</w:t>
      </w:r>
    </w:p>
    <w:p>
      <w:pPr>
        <w:pStyle w:val="3"/>
        <w:numPr>
          <w:ilvl w:val="0"/>
          <w:numId w:val="0"/>
        </w:numPr>
        <w:snapToGrid w:val="0"/>
        <w:spacing w:before="120" w:after="120" w:line="560" w:lineRule="exact"/>
        <w:ind w:left="17" w:leftChars="0" w:firstLine="403" w:firstLineChars="0"/>
        <w:rPr>
          <w:rFonts w:ascii="Times New Roman" w:hAnsi="Times New Roman" w:eastAsia="黑体" w:cs="Times New Roman"/>
          <w:bCs w:val="0"/>
          <w:sz w:val="22"/>
          <w:szCs w:val="15"/>
          <w:highlight w:val="none"/>
        </w:rPr>
      </w:pPr>
      <w:r>
        <w:rPr>
          <w:rFonts w:hint="eastAsia" w:ascii="Times New Roman" w:hAnsi="Times New Roman" w:eastAsia="黑体" w:cs="Times New Roman"/>
          <w:b/>
          <w:bCs w:val="0"/>
          <w:kern w:val="2"/>
          <w:sz w:val="22"/>
          <w:szCs w:val="15"/>
          <w:highlight w:val="none"/>
          <w:lang w:val="en-US" w:eastAsia="zh-CN" w:bidi="ar-SA"/>
        </w:rPr>
        <w:t>9</w:t>
      </w:r>
      <w:r>
        <w:rPr>
          <w:rFonts w:hint="default" w:ascii="Times New Roman" w:hAnsi="Times New Roman" w:eastAsia="黑体" w:cs="Times New Roman"/>
          <w:b/>
          <w:bCs w:val="0"/>
          <w:kern w:val="2"/>
          <w:sz w:val="22"/>
          <w:szCs w:val="15"/>
          <w:highlight w:val="none"/>
          <w:lang w:val="en-US" w:eastAsia="zh-CN" w:bidi="ar-SA"/>
        </w:rPr>
        <w:t>．</w:t>
      </w:r>
      <w:r>
        <w:rPr>
          <w:rFonts w:ascii="Times New Roman" w:hAnsi="Times New Roman" w:eastAsia="黑体" w:cs="Times New Roman"/>
          <w:bCs w:val="0"/>
          <w:sz w:val="22"/>
          <w:szCs w:val="15"/>
          <w:highlight w:val="none"/>
        </w:rPr>
        <w:t>发布公告的媒介</w:t>
      </w:r>
      <w:bookmarkEnd w:id="35"/>
      <w:bookmarkEnd w:id="36"/>
    </w:p>
    <w:p>
      <w:pPr>
        <w:snapToGrid w:val="0"/>
        <w:spacing w:line="56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本次采购公告在安徽</w:t>
      </w:r>
      <w:r>
        <w:rPr>
          <w:rFonts w:hint="eastAsia" w:ascii="Times New Roman" w:hAnsi="Times New Roman" w:cs="Times New Roman"/>
          <w:szCs w:val="22"/>
          <w:highlight w:val="none"/>
        </w:rPr>
        <w:t>交运集团网站（</w:t>
      </w:r>
      <w:r>
        <w:rPr>
          <w:rFonts w:hint="eastAsia" w:asciiTheme="minorEastAsia" w:hAnsiTheme="minorEastAsia" w:cstheme="minorEastAsia"/>
          <w:szCs w:val="21"/>
          <w:highlight w:val="none"/>
        </w:rPr>
        <w:t>http://www.ahjyjt.com.cn/</w:t>
      </w:r>
      <w:r>
        <w:rPr>
          <w:rFonts w:hint="eastAsia" w:ascii="Times New Roman" w:hAnsi="Times New Roman" w:cs="Times New Roman"/>
          <w:szCs w:val="22"/>
          <w:highlight w:val="none"/>
        </w:rPr>
        <w:t>）</w:t>
      </w:r>
      <w:r>
        <w:rPr>
          <w:rFonts w:ascii="Times New Roman" w:hAnsi="Times New Roman" w:cs="Times New Roman"/>
          <w:szCs w:val="22"/>
          <w:highlight w:val="none"/>
        </w:rPr>
        <w:t>上发布。</w:t>
      </w:r>
    </w:p>
    <w:p>
      <w:pPr>
        <w:pStyle w:val="3"/>
        <w:numPr>
          <w:ilvl w:val="0"/>
          <w:numId w:val="0"/>
        </w:numPr>
        <w:snapToGrid w:val="0"/>
        <w:spacing w:before="120" w:after="120" w:line="560" w:lineRule="exact"/>
        <w:ind w:left="17" w:leftChars="0" w:firstLine="403" w:firstLineChars="0"/>
        <w:rPr>
          <w:rFonts w:ascii="Times New Roman" w:hAnsi="Times New Roman" w:eastAsia="黑体" w:cs="Times New Roman"/>
          <w:bCs w:val="0"/>
          <w:sz w:val="22"/>
          <w:szCs w:val="15"/>
          <w:highlight w:val="none"/>
        </w:rPr>
      </w:pPr>
      <w:bookmarkStart w:id="37" w:name="_Toc8501"/>
      <w:bookmarkStart w:id="38" w:name="_Toc14943_WPSOffice_Level2"/>
      <w:bookmarkStart w:id="39" w:name="_Toc525632592"/>
      <w:bookmarkStart w:id="40" w:name="_Toc28571_WPSOffice_Level2"/>
      <w:bookmarkStart w:id="41" w:name="_Toc321_WPSOffice_Level2"/>
      <w:bookmarkStart w:id="42" w:name="_Toc26829"/>
      <w:bookmarkStart w:id="43" w:name="_Toc20572_WPSOffice_Level2"/>
      <w:r>
        <w:rPr>
          <w:rFonts w:hint="eastAsia" w:ascii="Times New Roman" w:hAnsi="Times New Roman" w:eastAsia="黑体" w:cs="Times New Roman"/>
          <w:b/>
          <w:bCs w:val="0"/>
          <w:kern w:val="2"/>
          <w:sz w:val="22"/>
          <w:szCs w:val="15"/>
          <w:highlight w:val="none"/>
          <w:lang w:val="en-US" w:eastAsia="zh-CN" w:bidi="ar-SA"/>
        </w:rPr>
        <w:t>10</w:t>
      </w:r>
      <w:r>
        <w:rPr>
          <w:rFonts w:hint="default" w:ascii="Times New Roman" w:hAnsi="Times New Roman" w:eastAsia="黑体" w:cs="Times New Roman"/>
          <w:b/>
          <w:bCs w:val="0"/>
          <w:kern w:val="2"/>
          <w:sz w:val="22"/>
          <w:szCs w:val="15"/>
          <w:highlight w:val="none"/>
          <w:lang w:val="en-US" w:eastAsia="zh-CN" w:bidi="ar-SA"/>
        </w:rPr>
        <w:t>．</w:t>
      </w:r>
      <w:r>
        <w:rPr>
          <w:rFonts w:ascii="Times New Roman" w:hAnsi="Times New Roman" w:eastAsia="黑体" w:cs="Times New Roman"/>
          <w:bCs w:val="0"/>
          <w:sz w:val="22"/>
          <w:szCs w:val="15"/>
          <w:highlight w:val="none"/>
        </w:rPr>
        <w:t>采购人联系方式</w:t>
      </w:r>
      <w:bookmarkEnd w:id="37"/>
      <w:bookmarkEnd w:id="38"/>
      <w:bookmarkEnd w:id="39"/>
      <w:bookmarkEnd w:id="40"/>
      <w:bookmarkEnd w:id="41"/>
      <w:bookmarkEnd w:id="42"/>
      <w:bookmarkEnd w:id="43"/>
    </w:p>
    <w:p>
      <w:pPr>
        <w:spacing w:line="560" w:lineRule="exact"/>
        <w:ind w:firstLine="420" w:firstLineChars="200"/>
        <w:rPr>
          <w:rFonts w:ascii="Times New Roman" w:hAnsi="Times New Roman" w:cs="Times New Roman"/>
          <w:szCs w:val="22"/>
          <w:highlight w:val="none"/>
          <w:u w:val="none"/>
        </w:rPr>
      </w:pPr>
      <w:r>
        <w:rPr>
          <w:rFonts w:ascii="Times New Roman" w:hAnsi="Times New Roman" w:cs="Times New Roman"/>
          <w:szCs w:val="22"/>
          <w:highlight w:val="none"/>
          <w:u w:val="none"/>
        </w:rPr>
        <w:t>采购人：</w:t>
      </w:r>
      <w:r>
        <w:rPr>
          <w:rFonts w:hint="eastAsia" w:ascii="Times New Roman" w:hAnsi="Times New Roman" w:cs="Times New Roman"/>
          <w:szCs w:val="22"/>
          <w:highlight w:val="none"/>
          <w:u w:val="none"/>
        </w:rPr>
        <w:t>安徽交运集团汽车销售有限公司</w:t>
      </w:r>
    </w:p>
    <w:p>
      <w:pPr>
        <w:spacing w:line="560" w:lineRule="exact"/>
        <w:ind w:firstLine="420" w:firstLineChars="200"/>
        <w:rPr>
          <w:rFonts w:ascii="Times New Roman" w:hAnsi="Times New Roman" w:cs="Times New Roman"/>
          <w:szCs w:val="22"/>
          <w:highlight w:val="none"/>
          <w:u w:val="none"/>
        </w:rPr>
      </w:pPr>
      <w:r>
        <w:rPr>
          <w:rFonts w:ascii="Times New Roman" w:hAnsi="Times New Roman" w:cs="Times New Roman"/>
          <w:szCs w:val="22"/>
          <w:highlight w:val="none"/>
          <w:u w:val="none"/>
        </w:rPr>
        <w:t>地</w:t>
      </w:r>
      <w:r>
        <w:rPr>
          <w:rFonts w:hint="eastAsia" w:ascii="Times New Roman" w:hAnsi="Times New Roman" w:cs="Times New Roman"/>
          <w:szCs w:val="22"/>
          <w:highlight w:val="none"/>
          <w:u w:val="none"/>
        </w:rPr>
        <w:t xml:space="preserve">  </w:t>
      </w:r>
      <w:r>
        <w:rPr>
          <w:rFonts w:ascii="Times New Roman" w:hAnsi="Times New Roman" w:cs="Times New Roman"/>
          <w:szCs w:val="22"/>
          <w:highlight w:val="none"/>
          <w:u w:val="none"/>
        </w:rPr>
        <w:t>址：</w:t>
      </w:r>
      <w:r>
        <w:rPr>
          <w:rFonts w:hint="eastAsia" w:ascii="Times New Roman" w:hAnsi="Times New Roman" w:cs="Times New Roman"/>
          <w:szCs w:val="22"/>
          <w:highlight w:val="none"/>
          <w:u w:val="none"/>
        </w:rPr>
        <w:t>合肥市胜利路35号交通饭店</w:t>
      </w:r>
    </w:p>
    <w:p>
      <w:pPr>
        <w:spacing w:line="560" w:lineRule="exact"/>
        <w:ind w:firstLine="420" w:firstLineChars="200"/>
        <w:rPr>
          <w:rFonts w:ascii="Times New Roman" w:hAnsi="Times New Roman" w:cs="Times New Roman"/>
          <w:szCs w:val="22"/>
          <w:highlight w:val="none"/>
          <w:u w:val="none"/>
        </w:rPr>
      </w:pPr>
      <w:r>
        <w:rPr>
          <w:rFonts w:ascii="Times New Roman" w:hAnsi="Times New Roman" w:cs="Times New Roman"/>
          <w:szCs w:val="22"/>
          <w:highlight w:val="none"/>
          <w:u w:val="none"/>
        </w:rPr>
        <w:t>邮政编码：</w:t>
      </w:r>
      <w:r>
        <w:rPr>
          <w:rFonts w:hint="eastAsia" w:ascii="Times New Roman" w:hAnsi="Times New Roman" w:cs="Times New Roman"/>
          <w:szCs w:val="22"/>
          <w:highlight w:val="none"/>
          <w:u w:val="none"/>
        </w:rPr>
        <w:t>230011</w:t>
      </w:r>
    </w:p>
    <w:p>
      <w:pPr>
        <w:spacing w:line="560" w:lineRule="exact"/>
        <w:ind w:firstLine="420" w:firstLineChars="200"/>
        <w:rPr>
          <w:rFonts w:ascii="Times New Roman" w:hAnsi="Times New Roman" w:cs="Times New Roman"/>
          <w:szCs w:val="22"/>
          <w:highlight w:val="none"/>
          <w:u w:val="none"/>
        </w:rPr>
      </w:pPr>
      <w:r>
        <w:rPr>
          <w:rFonts w:ascii="Times New Roman" w:hAnsi="Times New Roman" w:cs="Times New Roman"/>
          <w:szCs w:val="22"/>
          <w:highlight w:val="none"/>
          <w:u w:val="none"/>
        </w:rPr>
        <w:t>联系人：</w:t>
      </w:r>
      <w:r>
        <w:rPr>
          <w:rFonts w:hint="eastAsia" w:ascii="Times New Roman" w:hAnsi="Times New Roman" w:cs="Times New Roman"/>
          <w:szCs w:val="22"/>
          <w:highlight w:val="none"/>
          <w:u w:val="none"/>
        </w:rPr>
        <w:t>张经理</w:t>
      </w:r>
    </w:p>
    <w:p>
      <w:pPr>
        <w:spacing w:line="560" w:lineRule="exact"/>
        <w:ind w:firstLine="420" w:firstLineChars="200"/>
        <w:rPr>
          <w:rFonts w:ascii="Times New Roman" w:hAnsi="Times New Roman" w:cs="Times New Roman"/>
          <w:szCs w:val="22"/>
          <w:highlight w:val="none"/>
          <w:u w:val="none"/>
        </w:rPr>
      </w:pPr>
      <w:r>
        <w:rPr>
          <w:rFonts w:ascii="Times New Roman" w:hAnsi="Times New Roman" w:cs="Times New Roman"/>
          <w:szCs w:val="22"/>
          <w:highlight w:val="none"/>
          <w:u w:val="none"/>
        </w:rPr>
        <w:t>电话：</w:t>
      </w:r>
      <w:r>
        <w:rPr>
          <w:rFonts w:hint="eastAsia" w:ascii="Times New Roman" w:hAnsi="Times New Roman" w:cs="Times New Roman"/>
          <w:szCs w:val="22"/>
          <w:highlight w:val="none"/>
          <w:u w:val="none"/>
        </w:rPr>
        <w:t xml:space="preserve">0551-64299058   </w:t>
      </w:r>
    </w:p>
    <w:p>
      <w:pPr>
        <w:spacing w:line="560" w:lineRule="exact"/>
        <w:ind w:firstLine="420" w:firstLineChars="200"/>
        <w:rPr>
          <w:rFonts w:ascii="Times New Roman" w:hAnsi="Times New Roman" w:cs="Times New Roman"/>
          <w:szCs w:val="22"/>
          <w:highlight w:val="none"/>
          <w:u w:val="none"/>
        </w:rPr>
      </w:pPr>
      <w:r>
        <w:rPr>
          <w:rFonts w:ascii="Times New Roman" w:hAnsi="Times New Roman" w:cs="Times New Roman"/>
          <w:szCs w:val="22"/>
          <w:highlight w:val="none"/>
          <w:u w:val="none"/>
        </w:rPr>
        <w:t>电子邮箱：</w:t>
      </w:r>
      <w:r>
        <w:rPr>
          <w:rFonts w:hint="eastAsia" w:ascii="Times New Roman" w:hAnsi="Times New Roman" w:cs="Times New Roman"/>
          <w:color w:val="auto"/>
          <w:szCs w:val="22"/>
          <w:highlight w:val="none"/>
          <w:u w:val="none"/>
        </w:rPr>
        <w:t>ahjyxs@163.com</w:t>
      </w:r>
    </w:p>
    <w:p>
      <w:pPr>
        <w:pStyle w:val="22"/>
        <w:jc w:val="right"/>
        <w:rPr>
          <w:rFonts w:ascii="Times New Roman" w:hAnsi="Times New Roman"/>
          <w:color w:val="auto"/>
          <w:sz w:val="21"/>
          <w:szCs w:val="22"/>
          <w:highlight w:val="none"/>
        </w:rPr>
      </w:pPr>
    </w:p>
    <w:p>
      <w:pPr>
        <w:pStyle w:val="22"/>
        <w:jc w:val="right"/>
        <w:rPr>
          <w:rFonts w:ascii="Times New Roman" w:hAnsi="Times New Roman"/>
          <w:color w:val="auto"/>
          <w:sz w:val="21"/>
          <w:szCs w:val="22"/>
          <w:highlight w:val="none"/>
        </w:rPr>
      </w:pPr>
    </w:p>
    <w:p>
      <w:pPr>
        <w:pStyle w:val="22"/>
        <w:jc w:val="right"/>
        <w:rPr>
          <w:rFonts w:ascii="Times New Roman" w:hAnsi="Times New Roman"/>
          <w:color w:val="auto"/>
          <w:sz w:val="21"/>
          <w:szCs w:val="22"/>
          <w:highlight w:val="none"/>
        </w:rPr>
      </w:pPr>
    </w:p>
    <w:p>
      <w:pPr>
        <w:pStyle w:val="22"/>
        <w:jc w:val="right"/>
        <w:rPr>
          <w:rFonts w:ascii="Times New Roman" w:hAnsi="Times New Roman"/>
          <w:color w:val="auto"/>
          <w:sz w:val="21"/>
          <w:szCs w:val="22"/>
          <w:highlight w:val="none"/>
        </w:rPr>
      </w:pPr>
    </w:p>
    <w:p>
      <w:pPr>
        <w:pStyle w:val="22"/>
        <w:jc w:val="right"/>
        <w:rPr>
          <w:rFonts w:ascii="Times New Roman" w:hAnsi="Times New Roman"/>
          <w:color w:val="auto"/>
          <w:sz w:val="21"/>
          <w:szCs w:val="22"/>
          <w:highlight w:val="none"/>
        </w:rPr>
      </w:pPr>
    </w:p>
    <w:p>
      <w:pPr>
        <w:pStyle w:val="22"/>
        <w:jc w:val="right"/>
        <w:rPr>
          <w:rFonts w:ascii="Times New Roman" w:hAnsi="Times New Roman"/>
          <w:color w:val="auto"/>
          <w:sz w:val="21"/>
          <w:szCs w:val="22"/>
          <w:highlight w:val="none"/>
        </w:rPr>
      </w:pPr>
    </w:p>
    <w:p>
      <w:pPr>
        <w:pStyle w:val="22"/>
        <w:jc w:val="right"/>
        <w:rPr>
          <w:rFonts w:ascii="Times New Roman" w:hAnsi="Times New Roman"/>
          <w:color w:val="auto"/>
          <w:sz w:val="21"/>
          <w:szCs w:val="22"/>
          <w:highlight w:val="none"/>
        </w:rPr>
      </w:pPr>
    </w:p>
    <w:p>
      <w:pPr>
        <w:pStyle w:val="22"/>
        <w:jc w:val="right"/>
        <w:rPr>
          <w:rFonts w:ascii="Times New Roman" w:hAnsi="Times New Roman"/>
          <w:color w:val="auto"/>
          <w:sz w:val="21"/>
          <w:szCs w:val="22"/>
          <w:highlight w:val="none"/>
        </w:rPr>
      </w:pPr>
    </w:p>
    <w:p>
      <w:pPr>
        <w:pStyle w:val="22"/>
        <w:jc w:val="right"/>
        <w:rPr>
          <w:rFonts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r>
        <w:rPr>
          <w:rFonts w:ascii="Times New Roman" w:hAnsi="Times New Roman"/>
          <w:color w:val="auto"/>
          <w:sz w:val="21"/>
          <w:szCs w:val="22"/>
          <w:highlight w:val="none"/>
        </w:rPr>
        <w:t xml:space="preserve"> 202</w:t>
      </w:r>
      <w:r>
        <w:rPr>
          <w:rFonts w:hint="eastAsia" w:ascii="Times New Roman" w:hAnsi="Times New Roman"/>
          <w:color w:val="auto"/>
          <w:sz w:val="21"/>
          <w:szCs w:val="22"/>
          <w:highlight w:val="none"/>
          <w:lang w:val="en-US" w:eastAsia="zh-CN"/>
        </w:rPr>
        <w:t>4</w:t>
      </w:r>
      <w:r>
        <w:rPr>
          <w:rFonts w:ascii="Times New Roman" w:hAnsi="Times New Roman"/>
          <w:color w:val="auto"/>
          <w:sz w:val="21"/>
          <w:szCs w:val="22"/>
          <w:highlight w:val="none"/>
        </w:rPr>
        <w:t xml:space="preserve"> </w:t>
      </w:r>
      <w:r>
        <w:rPr>
          <w:rFonts w:hint="default" w:ascii="Times New Roman" w:hAnsi="Times New Roman"/>
          <w:color w:val="auto"/>
          <w:sz w:val="21"/>
          <w:szCs w:val="22"/>
          <w:highlight w:val="none"/>
        </w:rPr>
        <w:t>年</w:t>
      </w:r>
      <w:r>
        <w:rPr>
          <w:rFonts w:ascii="Times New Roman" w:hAnsi="Times New Roman"/>
          <w:color w:val="auto"/>
          <w:sz w:val="21"/>
          <w:szCs w:val="22"/>
          <w:highlight w:val="none"/>
        </w:rPr>
        <w:t xml:space="preserve"> 1</w:t>
      </w:r>
      <w:r>
        <w:rPr>
          <w:rFonts w:hint="eastAsia" w:ascii="Times New Roman" w:hAnsi="Times New Roman"/>
          <w:color w:val="auto"/>
          <w:sz w:val="21"/>
          <w:szCs w:val="22"/>
          <w:highlight w:val="none"/>
          <w:lang w:val="en-US" w:eastAsia="zh-CN"/>
        </w:rPr>
        <w:t xml:space="preserve"> </w:t>
      </w:r>
      <w:r>
        <w:rPr>
          <w:rFonts w:hint="default" w:ascii="Times New Roman" w:hAnsi="Times New Roman"/>
          <w:color w:val="auto"/>
          <w:sz w:val="21"/>
          <w:szCs w:val="22"/>
          <w:highlight w:val="none"/>
        </w:rPr>
        <w:t>月</w:t>
      </w:r>
      <w:r>
        <w:rPr>
          <w:rFonts w:hint="eastAsia" w:ascii="Times New Roman" w:hAnsi="Times New Roman"/>
          <w:color w:val="auto"/>
          <w:sz w:val="21"/>
          <w:szCs w:val="22"/>
          <w:highlight w:val="none"/>
          <w:lang w:val="en-US" w:eastAsia="zh-CN"/>
        </w:rPr>
        <w:t xml:space="preserve"> 4</w:t>
      </w:r>
      <w:r>
        <w:rPr>
          <w:rFonts w:ascii="Times New Roman" w:hAnsi="Times New Roman"/>
          <w:color w:val="auto"/>
          <w:sz w:val="21"/>
          <w:szCs w:val="22"/>
          <w:highlight w:val="none"/>
        </w:rPr>
        <w:t xml:space="preserve"> </w:t>
      </w:r>
      <w:r>
        <w:rPr>
          <w:rFonts w:hint="default" w:ascii="Times New Roman" w:hAnsi="Times New Roman"/>
          <w:color w:val="auto"/>
          <w:sz w:val="21"/>
          <w:szCs w:val="22"/>
          <w:highlight w:val="none"/>
        </w:rPr>
        <w:t>日</w:t>
      </w: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pStyle w:val="22"/>
        <w:jc w:val="right"/>
        <w:rPr>
          <w:rFonts w:hint="default" w:ascii="Times New Roman" w:hAnsi="Times New Roman"/>
          <w:color w:val="auto"/>
          <w:sz w:val="21"/>
          <w:szCs w:val="22"/>
          <w:highlight w:val="none"/>
        </w:rPr>
      </w:pPr>
    </w:p>
    <w:p>
      <w:pPr>
        <w:spacing w:line="360" w:lineRule="auto"/>
        <w:jc w:val="center"/>
        <w:rPr>
          <w:b/>
          <w:sz w:val="36"/>
          <w:szCs w:val="36"/>
          <w:highlight w:val="none"/>
        </w:rPr>
      </w:pPr>
      <w:r>
        <w:rPr>
          <w:rFonts w:hint="eastAsia"/>
          <w:b/>
          <w:sz w:val="36"/>
          <w:szCs w:val="36"/>
          <w:highlight w:val="none"/>
        </w:rPr>
        <w:t>响 应 报 名 表</w:t>
      </w:r>
    </w:p>
    <w:p>
      <w:pPr>
        <w:pStyle w:val="6"/>
        <w:rPr>
          <w:highlight w:val="none"/>
        </w:rPr>
      </w:pPr>
    </w:p>
    <w:p>
      <w:pPr>
        <w:spacing w:line="360" w:lineRule="auto"/>
        <w:jc w:val="center"/>
        <w:rPr>
          <w:rFonts w:ascii="宋体" w:hAnsi="宋体" w:eastAsia="宋体" w:cs="宋体"/>
          <w:szCs w:val="21"/>
          <w:highlight w:val="none"/>
        </w:rPr>
      </w:pPr>
      <w:r>
        <w:rPr>
          <w:rFonts w:hint="eastAsia" w:ascii="宋体" w:hAnsi="宋体" w:eastAsia="宋体" w:cs="宋体"/>
          <w:szCs w:val="21"/>
          <w:highlight w:val="none"/>
        </w:rPr>
        <w:t>报名日期：</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              评审时间：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w:t>
      </w:r>
    </w:p>
    <w:tbl>
      <w:tblPr>
        <w:tblStyle w:val="14"/>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608"/>
        <w:gridCol w:w="3396"/>
        <w:gridCol w:w="1506"/>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54" w:type="dxa"/>
            <w:gridSpan w:val="2"/>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项目名称</w:t>
            </w:r>
          </w:p>
        </w:tc>
        <w:tc>
          <w:tcPr>
            <w:tcW w:w="8259" w:type="dxa"/>
            <w:gridSpan w:val="3"/>
            <w:vAlign w:val="center"/>
          </w:tcPr>
          <w:p>
            <w:pPr>
              <w:snapToGrid w:val="0"/>
              <w:spacing w:line="380" w:lineRule="exact"/>
              <w:jc w:val="center"/>
              <w:rPr>
                <w:rFonts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954" w:type="dxa"/>
            <w:gridSpan w:val="2"/>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供应商名称</w:t>
            </w:r>
          </w:p>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（与公章一致）</w:t>
            </w:r>
          </w:p>
        </w:tc>
        <w:tc>
          <w:tcPr>
            <w:tcW w:w="8259" w:type="dxa"/>
            <w:gridSpan w:val="3"/>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954" w:type="dxa"/>
            <w:gridSpan w:val="2"/>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供应商地址</w:t>
            </w:r>
          </w:p>
        </w:tc>
        <w:tc>
          <w:tcPr>
            <w:tcW w:w="8259" w:type="dxa"/>
            <w:gridSpan w:val="3"/>
            <w:vAlign w:val="center"/>
          </w:tcPr>
          <w:p>
            <w:pPr>
              <w:spacing w:line="360" w:lineRule="exact"/>
              <w:rPr>
                <w:rFonts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法定代表人</w:t>
            </w:r>
          </w:p>
        </w:tc>
        <w:tc>
          <w:tcPr>
            <w:tcW w:w="3396" w:type="dxa"/>
            <w:vAlign w:val="center"/>
          </w:tcPr>
          <w:p>
            <w:pPr>
              <w:spacing w:line="360" w:lineRule="exact"/>
              <w:rPr>
                <w:rFonts w:ascii="宋体" w:hAnsi="宋体" w:eastAsia="宋体" w:cs="宋体"/>
                <w:bCs/>
                <w:szCs w:val="21"/>
                <w:highlight w:val="none"/>
              </w:rPr>
            </w:pPr>
          </w:p>
        </w:tc>
        <w:tc>
          <w:tcPr>
            <w:tcW w:w="1506" w:type="dxa"/>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联系电话</w:t>
            </w:r>
          </w:p>
        </w:tc>
        <w:tc>
          <w:tcPr>
            <w:tcW w:w="3357" w:type="dxa"/>
            <w:vAlign w:val="center"/>
          </w:tcPr>
          <w:p>
            <w:pPr>
              <w:spacing w:line="360" w:lineRule="exact"/>
              <w:rPr>
                <w:rFonts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lang w:val="en-US" w:eastAsia="zh-CN"/>
              </w:rPr>
              <w:t>响应</w:t>
            </w:r>
            <w:r>
              <w:rPr>
                <w:rFonts w:hint="eastAsia" w:ascii="宋体" w:hAnsi="宋体" w:eastAsia="宋体" w:cs="宋体"/>
                <w:bCs/>
                <w:szCs w:val="21"/>
                <w:highlight w:val="none"/>
              </w:rPr>
              <w:t>负责人</w:t>
            </w:r>
          </w:p>
        </w:tc>
        <w:tc>
          <w:tcPr>
            <w:tcW w:w="3396" w:type="dxa"/>
            <w:vAlign w:val="center"/>
          </w:tcPr>
          <w:p>
            <w:pPr>
              <w:spacing w:line="360" w:lineRule="exact"/>
              <w:rPr>
                <w:rFonts w:ascii="宋体" w:hAnsi="宋体" w:eastAsia="宋体" w:cs="宋体"/>
                <w:bCs/>
                <w:szCs w:val="21"/>
                <w:highlight w:val="none"/>
              </w:rPr>
            </w:pPr>
          </w:p>
        </w:tc>
        <w:tc>
          <w:tcPr>
            <w:tcW w:w="1506" w:type="dxa"/>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lang w:val="en-US" w:eastAsia="zh-CN"/>
              </w:rPr>
              <w:t>响应</w:t>
            </w:r>
            <w:r>
              <w:rPr>
                <w:rFonts w:hint="eastAsia" w:ascii="宋体" w:hAnsi="宋体" w:eastAsia="宋体" w:cs="宋体"/>
                <w:bCs/>
                <w:szCs w:val="21"/>
                <w:highlight w:val="none"/>
              </w:rPr>
              <w:t>负责人</w:t>
            </w:r>
          </w:p>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手机号</w:t>
            </w:r>
          </w:p>
        </w:tc>
        <w:tc>
          <w:tcPr>
            <w:tcW w:w="3357" w:type="dxa"/>
            <w:vAlign w:val="center"/>
          </w:tcPr>
          <w:p>
            <w:pPr>
              <w:spacing w:line="360" w:lineRule="exact"/>
              <w:rPr>
                <w:rFonts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电子邮箱</w:t>
            </w:r>
          </w:p>
        </w:tc>
        <w:tc>
          <w:tcPr>
            <w:tcW w:w="3396" w:type="dxa"/>
            <w:vAlign w:val="center"/>
          </w:tcPr>
          <w:p>
            <w:pPr>
              <w:spacing w:line="360" w:lineRule="exact"/>
              <w:rPr>
                <w:rFonts w:ascii="宋体" w:hAnsi="宋体" w:eastAsia="宋体" w:cs="宋体"/>
                <w:bCs/>
                <w:szCs w:val="21"/>
                <w:highlight w:val="none"/>
              </w:rPr>
            </w:pPr>
          </w:p>
        </w:tc>
        <w:tc>
          <w:tcPr>
            <w:tcW w:w="1506" w:type="dxa"/>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公司传真</w:t>
            </w:r>
          </w:p>
        </w:tc>
        <w:tc>
          <w:tcPr>
            <w:tcW w:w="3357" w:type="dxa"/>
            <w:vAlign w:val="center"/>
          </w:tcPr>
          <w:p>
            <w:pPr>
              <w:spacing w:line="360" w:lineRule="exact"/>
              <w:rPr>
                <w:rFonts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350" w:type="dxa"/>
            <w:gridSpan w:val="3"/>
            <w:vAlign w:val="center"/>
          </w:tcPr>
          <w:p>
            <w:pPr>
              <w:spacing w:line="360" w:lineRule="exact"/>
              <w:rPr>
                <w:rFonts w:ascii="宋体" w:hAnsi="宋体" w:eastAsia="宋体" w:cs="宋体"/>
                <w:bCs/>
                <w:szCs w:val="21"/>
                <w:highlight w:val="none"/>
              </w:rPr>
            </w:pPr>
            <w:r>
              <w:rPr>
                <w:rFonts w:hint="eastAsia" w:ascii="宋体" w:hAnsi="宋体" w:eastAsia="宋体" w:cs="宋体"/>
                <w:bCs/>
                <w:szCs w:val="21"/>
                <w:highlight w:val="none"/>
              </w:rPr>
              <w:t>是否符合本项目的资质要求</w:t>
            </w:r>
          </w:p>
          <w:p>
            <w:pPr>
              <w:spacing w:line="360" w:lineRule="exact"/>
              <w:rPr>
                <w:rFonts w:ascii="宋体" w:hAnsi="宋体" w:eastAsia="宋体" w:cs="宋体"/>
                <w:bCs/>
                <w:szCs w:val="21"/>
                <w:highlight w:val="none"/>
              </w:rPr>
            </w:pPr>
            <w:r>
              <w:rPr>
                <w:rFonts w:hint="eastAsia" w:ascii="宋体" w:hAnsi="宋体" w:eastAsia="宋体" w:cs="宋体"/>
                <w:bCs/>
                <w:szCs w:val="21"/>
                <w:highlight w:val="none"/>
              </w:rPr>
              <w:t>注：填写“是”或“否”。</w:t>
            </w:r>
          </w:p>
        </w:tc>
        <w:tc>
          <w:tcPr>
            <w:tcW w:w="4863" w:type="dxa"/>
            <w:gridSpan w:val="2"/>
            <w:vAlign w:val="center"/>
          </w:tcPr>
          <w:p>
            <w:pPr>
              <w:spacing w:line="360" w:lineRule="exact"/>
              <w:jc w:val="center"/>
              <w:rPr>
                <w:rFonts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350" w:type="dxa"/>
            <w:gridSpan w:val="3"/>
            <w:vAlign w:val="center"/>
          </w:tcPr>
          <w:p>
            <w:pPr>
              <w:spacing w:line="360" w:lineRule="exact"/>
              <w:rPr>
                <w:rFonts w:hint="eastAsia" w:ascii="宋体" w:hAnsi="宋体" w:eastAsia="宋体" w:cs="宋体"/>
                <w:bCs/>
                <w:szCs w:val="21"/>
                <w:highlight w:val="none"/>
                <w:lang w:eastAsia="zh-CN"/>
              </w:rPr>
            </w:pPr>
            <w:r>
              <w:rPr>
                <w:rFonts w:hint="eastAsia" w:ascii="宋体" w:hAnsi="宋体" w:eastAsia="宋体" w:cs="宋体"/>
                <w:bCs/>
                <w:szCs w:val="21"/>
                <w:highlight w:val="none"/>
              </w:rPr>
              <w:t>供应商参与包组情况</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lang w:val="en-US" w:eastAsia="zh-CN"/>
              </w:rPr>
              <w:t>如有</w:t>
            </w:r>
            <w:r>
              <w:rPr>
                <w:rFonts w:hint="eastAsia" w:ascii="宋体" w:hAnsi="宋体" w:eastAsia="宋体" w:cs="宋体"/>
                <w:bCs/>
                <w:szCs w:val="21"/>
                <w:highlight w:val="none"/>
                <w:lang w:eastAsia="zh-CN"/>
              </w:rPr>
              <w:t>）</w:t>
            </w:r>
          </w:p>
          <w:p>
            <w:pPr>
              <w:spacing w:line="360" w:lineRule="exact"/>
              <w:rPr>
                <w:rFonts w:ascii="宋体" w:hAnsi="宋体" w:eastAsia="宋体" w:cs="宋体"/>
                <w:bCs/>
                <w:szCs w:val="21"/>
                <w:highlight w:val="none"/>
              </w:rPr>
            </w:pPr>
            <w:r>
              <w:rPr>
                <w:rFonts w:hint="eastAsia" w:ascii="宋体" w:hAnsi="宋体" w:eastAsia="宋体" w:cs="宋体"/>
                <w:bCs/>
                <w:szCs w:val="21"/>
                <w:highlight w:val="none"/>
              </w:rPr>
              <w:t>注：根据招标文件包号填写。</w:t>
            </w:r>
          </w:p>
        </w:tc>
        <w:tc>
          <w:tcPr>
            <w:tcW w:w="4863" w:type="dxa"/>
            <w:gridSpan w:val="2"/>
            <w:vAlign w:val="center"/>
          </w:tcPr>
          <w:p>
            <w:pPr>
              <w:spacing w:line="360" w:lineRule="exact"/>
              <w:jc w:val="center"/>
              <w:rPr>
                <w:rFonts w:ascii="宋体" w:hAnsi="宋体" w:eastAsia="宋体" w:cs="宋体"/>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346" w:type="dxa"/>
            <w:vAlign w:val="center"/>
          </w:tcPr>
          <w:p>
            <w:pPr>
              <w:spacing w:line="360" w:lineRule="exact"/>
              <w:jc w:val="center"/>
              <w:rPr>
                <w:rFonts w:ascii="宋体" w:hAnsi="宋体" w:eastAsia="宋体" w:cs="宋体"/>
                <w:bCs/>
                <w:szCs w:val="21"/>
                <w:highlight w:val="none"/>
              </w:rPr>
            </w:pPr>
            <w:r>
              <w:rPr>
                <w:rFonts w:hint="eastAsia" w:ascii="宋体" w:hAnsi="宋体" w:eastAsia="宋体" w:cs="宋体"/>
                <w:bCs/>
                <w:szCs w:val="21"/>
                <w:highlight w:val="none"/>
              </w:rPr>
              <w:t>备注</w:t>
            </w:r>
          </w:p>
        </w:tc>
        <w:tc>
          <w:tcPr>
            <w:tcW w:w="8867" w:type="dxa"/>
            <w:gridSpan w:val="4"/>
            <w:vAlign w:val="center"/>
          </w:tcPr>
          <w:p>
            <w:pPr>
              <w:spacing w:line="360" w:lineRule="exact"/>
              <w:jc w:val="left"/>
              <w:rPr>
                <w:rFonts w:ascii="宋体" w:hAnsi="宋体" w:eastAsia="宋体" w:cs="宋体"/>
                <w:bCs/>
                <w:szCs w:val="21"/>
                <w:highlight w:val="none"/>
              </w:rPr>
            </w:pPr>
            <w:r>
              <w:rPr>
                <w:rFonts w:hint="eastAsia" w:ascii="宋体" w:hAnsi="宋体" w:eastAsia="宋体" w:cs="宋体"/>
                <w:bCs/>
                <w:szCs w:val="21"/>
                <w:highlight w:val="none"/>
              </w:rPr>
              <w:t>1、所有获取文件的供应商，若有意参投本项目，须同时提供以下资料并发送至邮箱</w:t>
            </w:r>
            <w:r>
              <w:rPr>
                <w:rFonts w:hint="eastAsia" w:ascii="宋体" w:hAnsi="宋体" w:eastAsia="宋体" w:cs="宋体"/>
                <w:color w:val="auto"/>
                <w:szCs w:val="21"/>
                <w:highlight w:val="none"/>
                <w:u w:val="none"/>
              </w:rPr>
              <w:t>ahjyxs@163.com</w:t>
            </w:r>
            <w:r>
              <w:rPr>
                <w:rFonts w:hint="eastAsia" w:ascii="宋体" w:hAnsi="宋体" w:eastAsia="宋体" w:cs="宋体"/>
                <w:bCs/>
                <w:szCs w:val="21"/>
                <w:highlight w:val="none"/>
              </w:rPr>
              <w:t>：</w:t>
            </w:r>
          </w:p>
          <w:p>
            <w:pPr>
              <w:spacing w:line="360" w:lineRule="exact"/>
              <w:jc w:val="left"/>
              <w:rPr>
                <w:rFonts w:ascii="宋体" w:hAnsi="宋体" w:eastAsia="宋体" w:cs="宋体"/>
                <w:bCs/>
                <w:szCs w:val="21"/>
                <w:highlight w:val="none"/>
              </w:rPr>
            </w:pPr>
            <w:r>
              <w:rPr>
                <w:rFonts w:hint="eastAsia" w:ascii="宋体" w:hAnsi="宋体" w:eastAsia="宋体" w:cs="宋体"/>
                <w:bCs/>
                <w:szCs w:val="21"/>
                <w:highlight w:val="none"/>
              </w:rPr>
              <w:t>①已填写完整的《响应报名表》；</w:t>
            </w:r>
          </w:p>
          <w:p>
            <w:pPr>
              <w:spacing w:line="360" w:lineRule="exact"/>
              <w:jc w:val="left"/>
              <w:rPr>
                <w:rFonts w:ascii="宋体" w:hAnsi="宋体" w:eastAsia="宋体" w:cs="宋体"/>
                <w:bCs/>
                <w:szCs w:val="21"/>
                <w:highlight w:val="none"/>
              </w:rPr>
            </w:pPr>
            <w:r>
              <w:rPr>
                <w:rFonts w:hint="eastAsia" w:ascii="宋体" w:hAnsi="宋体" w:eastAsia="宋体" w:cs="宋体"/>
                <w:bCs/>
                <w:szCs w:val="21"/>
                <w:highlight w:val="none"/>
              </w:rPr>
              <w:t>②营业执照复印件并加盖公章。</w:t>
            </w:r>
          </w:p>
          <w:p>
            <w:pPr>
              <w:numPr>
                <w:ilvl w:val="0"/>
                <w:numId w:val="3"/>
              </w:numPr>
              <w:spacing w:line="360" w:lineRule="exact"/>
              <w:jc w:val="left"/>
              <w:rPr>
                <w:rFonts w:ascii="宋体" w:hAnsi="宋体" w:eastAsia="宋体" w:cs="宋体"/>
                <w:bCs/>
                <w:szCs w:val="21"/>
                <w:highlight w:val="none"/>
              </w:rPr>
            </w:pPr>
            <w:r>
              <w:rPr>
                <w:rFonts w:hint="eastAsia" w:ascii="宋体" w:hAnsi="宋体" w:eastAsia="宋体" w:cs="宋体"/>
                <w:bCs/>
                <w:szCs w:val="21"/>
                <w:highlight w:val="none"/>
              </w:rPr>
              <w:t>报名单位须与</w:t>
            </w:r>
            <w:r>
              <w:rPr>
                <w:rFonts w:hint="eastAsia" w:ascii="宋体" w:hAnsi="宋体" w:eastAsia="宋体" w:cs="宋体"/>
                <w:bCs/>
                <w:szCs w:val="21"/>
                <w:highlight w:val="none"/>
                <w:lang w:eastAsia="zh-CN"/>
              </w:rPr>
              <w:t>响应</w:t>
            </w:r>
            <w:r>
              <w:rPr>
                <w:rFonts w:hint="eastAsia" w:ascii="宋体" w:hAnsi="宋体" w:eastAsia="宋体" w:cs="宋体"/>
                <w:bCs/>
                <w:szCs w:val="21"/>
                <w:highlight w:val="none"/>
              </w:rPr>
              <w:t>单位名称一致，否则报名无效。</w:t>
            </w:r>
          </w:p>
          <w:p>
            <w:pPr>
              <w:numPr>
                <w:ilvl w:val="0"/>
                <w:numId w:val="3"/>
              </w:numPr>
              <w:spacing w:line="360" w:lineRule="exact"/>
              <w:jc w:val="left"/>
              <w:rPr>
                <w:rFonts w:ascii="宋体" w:hAnsi="宋体" w:eastAsia="宋体" w:cs="宋体"/>
                <w:bCs/>
                <w:szCs w:val="21"/>
                <w:highlight w:val="none"/>
              </w:rPr>
            </w:pPr>
            <w:r>
              <w:rPr>
                <w:rFonts w:hint="eastAsia" w:ascii="宋体" w:hAnsi="宋体" w:eastAsia="宋体" w:cs="宋体"/>
                <w:bCs/>
                <w:szCs w:val="21"/>
                <w:highlight w:val="none"/>
              </w:rPr>
              <w:t>报名单位须在询比文件要求的报名截止时间前报名（以招标人收到邮件时间为准），否则报名无效。</w:t>
            </w:r>
          </w:p>
          <w:p>
            <w:pPr>
              <w:pStyle w:val="6"/>
              <w:rPr>
                <w:rFonts w:ascii="宋体" w:hAnsi="宋体" w:eastAsia="宋体" w:cs="宋体"/>
                <w:szCs w:val="21"/>
                <w:highlight w:val="none"/>
              </w:rPr>
            </w:pPr>
            <w:r>
              <w:rPr>
                <w:rFonts w:hint="eastAsia" w:ascii="宋体" w:hAnsi="宋体" w:eastAsia="宋体" w:cs="宋体"/>
                <w:bCs/>
                <w:szCs w:val="21"/>
                <w:highlight w:val="none"/>
              </w:rPr>
              <w:t>4、报名人在提交响应报名表后</w:t>
            </w:r>
            <w:r>
              <w:rPr>
                <w:rFonts w:hint="eastAsia" w:ascii="宋体" w:hAnsi="宋体" w:eastAsia="宋体" w:cs="宋体"/>
                <w:szCs w:val="21"/>
                <w:highlight w:val="none"/>
              </w:rPr>
              <w:t>响应文件递交的截止时间前，如不能如期参加询比，需提前向我单位书面说明情况。如因未如期参加询比且未提前书面说明情况导致项目询比失败的，我单位将记录在案，达两次以上者将列入黑名单，并禁止参加我单位询比项目1年。</w:t>
            </w:r>
          </w:p>
        </w:tc>
      </w:tr>
    </w:tbl>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hint="eastAsia" w:ascii="宋体" w:hAnsi="宋体" w:eastAsia="宋体" w:cs="宋体"/>
          <w:b/>
          <w:bCs/>
          <w:color w:val="000000"/>
          <w:kern w:val="0"/>
          <w:sz w:val="24"/>
          <w:highlight w:val="none"/>
        </w:rPr>
      </w:pPr>
    </w:p>
    <w:p>
      <w:pPr>
        <w:widowControl/>
        <w:spacing w:line="300" w:lineRule="atLeast"/>
        <w:ind w:firstLine="480"/>
        <w:jc w:val="center"/>
        <w:rPr>
          <w:rFonts w:ascii="微软雅黑" w:hAnsi="微软雅黑" w:eastAsia="微软雅黑" w:cs="宋体"/>
          <w:color w:val="000000"/>
          <w:kern w:val="0"/>
          <w:sz w:val="24"/>
          <w:highlight w:val="none"/>
        </w:rPr>
      </w:pPr>
      <w:r>
        <w:rPr>
          <w:rFonts w:hint="eastAsia" w:ascii="宋体" w:hAnsi="宋体" w:eastAsia="宋体" w:cs="宋体"/>
          <w:b/>
          <w:bCs/>
          <w:color w:val="000000"/>
          <w:kern w:val="0"/>
          <w:sz w:val="24"/>
          <w:highlight w:val="none"/>
        </w:rPr>
        <w:t>投资参股的关联企业情况表（与响应报名表一并提交）</w:t>
      </w:r>
    </w:p>
    <w:tbl>
      <w:tblPr>
        <w:tblStyle w:val="14"/>
        <w:tblW w:w="10180" w:type="dxa"/>
        <w:jc w:val="center"/>
        <w:tblCellSpacing w:w="15" w:type="dxa"/>
        <w:tblLayout w:type="fixed"/>
        <w:tblCellMar>
          <w:top w:w="0" w:type="dxa"/>
          <w:left w:w="0" w:type="dxa"/>
          <w:bottom w:w="0" w:type="dxa"/>
          <w:right w:w="0" w:type="dxa"/>
        </w:tblCellMar>
      </w:tblPr>
      <w:tblGrid>
        <w:gridCol w:w="10180"/>
      </w:tblGrid>
      <w:tr>
        <w:tblPrEx>
          <w:tblCellMar>
            <w:top w:w="0" w:type="dxa"/>
            <w:left w:w="0" w:type="dxa"/>
            <w:bottom w:w="0" w:type="dxa"/>
            <w:right w:w="0" w:type="dxa"/>
          </w:tblCellMar>
        </w:tblPrEx>
        <w:trPr>
          <w:trHeight w:val="12205" w:hRule="atLeast"/>
          <w:tblCellSpacing w:w="15" w:type="dxa"/>
          <w:jc w:val="center"/>
        </w:trPr>
        <w:tc>
          <w:tcPr>
            <w:tcW w:w="1012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line="480" w:lineRule="atLeast"/>
              <w:ind w:firstLine="48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p>
          <w:p>
            <w:pPr>
              <w:widowControl/>
              <w:spacing w:line="480" w:lineRule="atLeast"/>
              <w:ind w:firstLine="48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申请参加询比的企业应提供其投资参股的关联企业情况，包括以下内容：</w:t>
            </w:r>
          </w:p>
          <w:p>
            <w:pPr>
              <w:pStyle w:val="37"/>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与本单位负责人为同一人的其他单位名单；</w:t>
            </w:r>
          </w:p>
          <w:p>
            <w:pPr>
              <w:pStyle w:val="3"/>
              <w:numPr>
                <w:ilvl w:val="0"/>
                <w:numId w:val="0"/>
              </w:numPr>
              <w:ind w:left="402"/>
              <w:rPr>
                <w:rFonts w:hint="eastAsia"/>
                <w:highlight w:val="none"/>
              </w:rPr>
            </w:pPr>
          </w:p>
          <w:p>
            <w:pPr>
              <w:rPr>
                <w:rFonts w:hint="eastAsia"/>
                <w:highlight w:val="none"/>
              </w:rPr>
            </w:pPr>
          </w:p>
          <w:p>
            <w:pPr>
              <w:rPr>
                <w:rFonts w:hint="eastAsia"/>
                <w:highlight w:val="none"/>
              </w:rPr>
            </w:pPr>
          </w:p>
          <w:p>
            <w:pPr>
              <w:rPr>
                <w:rFonts w:hint="eastAsia"/>
                <w:highlight w:val="none"/>
              </w:rPr>
            </w:pPr>
          </w:p>
          <w:p>
            <w:pPr>
              <w:pStyle w:val="37"/>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对本单位存在控股、管理关系的其他单位名单；</w:t>
            </w:r>
          </w:p>
          <w:p>
            <w:pPr>
              <w:pStyle w:val="37"/>
              <w:rPr>
                <w:rFonts w:hint="eastAsia"/>
                <w:highlight w:val="none"/>
              </w:rPr>
            </w:pPr>
          </w:p>
          <w:p>
            <w:pPr>
              <w:pStyle w:val="37"/>
              <w:rPr>
                <w:rFonts w:hint="eastAsia"/>
                <w:highlight w:val="none"/>
              </w:rPr>
            </w:pPr>
          </w:p>
          <w:p>
            <w:pPr>
              <w:pStyle w:val="37"/>
              <w:rPr>
                <w:rFonts w:hint="eastAsia"/>
                <w:highlight w:val="none"/>
              </w:rPr>
            </w:pPr>
          </w:p>
          <w:p>
            <w:pPr>
              <w:pStyle w:val="37"/>
              <w:rPr>
                <w:rFonts w:hint="eastAsia"/>
                <w:highlight w:val="none"/>
              </w:rPr>
            </w:pPr>
          </w:p>
          <w:p>
            <w:pPr>
              <w:pStyle w:val="37"/>
              <w:rPr>
                <w:rFonts w:hint="eastAsia"/>
                <w:highlight w:val="none"/>
              </w:rPr>
            </w:pPr>
          </w:p>
          <w:p>
            <w:pPr>
              <w:rPr>
                <w:rFonts w:hint="eastAsia"/>
                <w:highlight w:val="none"/>
              </w:rPr>
            </w:pPr>
          </w:p>
          <w:p>
            <w:pPr>
              <w:pStyle w:val="37"/>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本单位对其他单位存在控股、管理关系的名单；</w:t>
            </w:r>
          </w:p>
          <w:p>
            <w:pPr>
              <w:pStyle w:val="3"/>
              <w:numPr>
                <w:ilvl w:val="0"/>
                <w:numId w:val="0"/>
              </w:numPr>
              <w:ind w:left="402"/>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widowControl/>
              <w:spacing w:line="480" w:lineRule="atLeast"/>
              <w:ind w:firstLine="42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rPr>
              <w:t>（单位盖章）</w:t>
            </w:r>
          </w:p>
        </w:tc>
      </w:tr>
    </w:tbl>
    <w:p>
      <w:pPr>
        <w:widowControl/>
        <w:ind w:firstLine="480"/>
        <w:jc w:val="left"/>
        <w:rPr>
          <w:rFonts w:hint="eastAsia" w:ascii="微软雅黑" w:hAnsi="微软雅黑" w:eastAsia="微软雅黑" w:cs="宋体"/>
          <w:color w:val="000000"/>
          <w:kern w:val="0"/>
          <w:sz w:val="24"/>
          <w:highlight w:val="none"/>
        </w:rPr>
      </w:pPr>
      <w:r>
        <w:rPr>
          <w:rFonts w:hint="eastAsia" w:ascii="宋体" w:hAnsi="宋体" w:eastAsia="宋体" w:cs="宋体"/>
          <w:color w:val="000000"/>
          <w:kern w:val="0"/>
          <w:sz w:val="24"/>
          <w:highlight w:val="none"/>
        </w:rPr>
        <w:t>注：供应商应如实填报此表，否则因其影响询比公正性的，其相关响应文件均无效。</w:t>
      </w:r>
    </w:p>
    <w:p>
      <w:pPr>
        <w:pStyle w:val="22"/>
        <w:rPr>
          <w:rFonts w:hint="default" w:ascii="Times New Roman" w:hAnsi="Times New Roman"/>
          <w:color w:val="auto"/>
          <w:sz w:val="21"/>
          <w:szCs w:val="22"/>
          <w:highlight w:val="none"/>
        </w:rPr>
      </w:pPr>
    </w:p>
    <w:p>
      <w:pPr>
        <w:pStyle w:val="22"/>
        <w:rPr>
          <w:rFonts w:hint="default" w:ascii="Times New Roman" w:hAnsi="Times New Roman"/>
          <w:color w:val="auto"/>
          <w:sz w:val="21"/>
          <w:szCs w:val="22"/>
          <w:highlight w:val="none"/>
        </w:rPr>
      </w:pPr>
    </w:p>
    <w:p>
      <w:pPr>
        <w:pStyle w:val="22"/>
        <w:rPr>
          <w:rFonts w:hint="default" w:ascii="Times New Roman" w:hAnsi="Times New Roman"/>
          <w:color w:val="auto"/>
          <w:sz w:val="21"/>
          <w:szCs w:val="22"/>
          <w:highlight w:val="none"/>
        </w:rPr>
      </w:pPr>
    </w:p>
    <w:p>
      <w:pPr>
        <w:pStyle w:val="22"/>
        <w:rPr>
          <w:rFonts w:hint="default" w:ascii="Times New Roman" w:hAnsi="Times New Roman"/>
          <w:color w:val="auto"/>
          <w:sz w:val="21"/>
          <w:szCs w:val="22"/>
          <w:highlight w:val="none"/>
        </w:rPr>
      </w:pPr>
    </w:p>
    <w:p>
      <w:pPr>
        <w:pStyle w:val="22"/>
        <w:rPr>
          <w:rFonts w:hint="default" w:ascii="Times New Roman" w:hAnsi="Times New Roman"/>
          <w:color w:val="auto"/>
          <w:sz w:val="21"/>
          <w:szCs w:val="22"/>
          <w:highlight w:val="none"/>
        </w:rPr>
      </w:pPr>
    </w:p>
    <w:p>
      <w:pPr>
        <w:pStyle w:val="22"/>
        <w:rPr>
          <w:rFonts w:hint="default" w:ascii="Times New Roman" w:hAnsi="Times New Roman"/>
          <w:color w:val="auto"/>
          <w:sz w:val="21"/>
          <w:szCs w:val="22"/>
          <w:highlight w:val="none"/>
        </w:rPr>
      </w:pPr>
    </w:p>
    <w:p>
      <w:pPr>
        <w:pStyle w:val="22"/>
        <w:rPr>
          <w:rFonts w:hint="default" w:ascii="Times New Roman" w:hAnsi="Times New Roman"/>
          <w:color w:val="auto"/>
          <w:sz w:val="21"/>
          <w:szCs w:val="22"/>
          <w:highlight w:val="none"/>
        </w:rPr>
      </w:pPr>
    </w:p>
    <w:p>
      <w:pPr>
        <w:jc w:val="center"/>
        <w:rPr>
          <w:rFonts w:ascii="Times New Roman" w:hAnsi="Times New Roman" w:eastAsia="宋体" w:cs="Times New Roman"/>
          <w:b/>
          <w:bCs/>
          <w:sz w:val="36"/>
          <w:szCs w:val="36"/>
          <w:highlight w:val="none"/>
        </w:rPr>
      </w:pPr>
      <w:r>
        <w:rPr>
          <w:rFonts w:hint="eastAsia" w:ascii="Times New Roman" w:hAnsi="Times New Roman" w:eastAsia="宋体" w:cs="Times New Roman"/>
          <w:b/>
          <w:bCs/>
          <w:sz w:val="36"/>
          <w:szCs w:val="36"/>
          <w:highlight w:val="none"/>
        </w:rPr>
        <w:t>第二章</w:t>
      </w:r>
      <w:r>
        <w:rPr>
          <w:rFonts w:hint="eastAsia" w:ascii="Times New Roman" w:hAnsi="Times New Roman" w:eastAsia="宋体" w:cs="Times New Roman"/>
          <w:b/>
          <w:bCs/>
          <w:sz w:val="36"/>
          <w:szCs w:val="36"/>
          <w:highlight w:val="none"/>
          <w:lang w:val="en-US" w:eastAsia="zh-CN"/>
        </w:rPr>
        <w:t xml:space="preserve">  </w:t>
      </w:r>
      <w:r>
        <w:rPr>
          <w:rFonts w:ascii="Times New Roman" w:hAnsi="Times New Roman" w:eastAsia="宋体" w:cs="Times New Roman"/>
          <w:b/>
          <w:bCs/>
          <w:sz w:val="36"/>
          <w:szCs w:val="36"/>
          <w:highlight w:val="none"/>
        </w:rPr>
        <w:t>供应商须知</w:t>
      </w:r>
    </w:p>
    <w:p>
      <w:pPr>
        <w:keepNext/>
        <w:keepLines/>
        <w:spacing w:before="156" w:beforeLines="50" w:after="156" w:afterLines="50" w:line="360" w:lineRule="auto"/>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1. 总则</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1.1 质量要求</w:t>
      </w:r>
    </w:p>
    <w:p>
      <w:pPr>
        <w:spacing w:line="360" w:lineRule="auto"/>
        <w:ind w:firstLine="420" w:firstLineChars="200"/>
        <w:rPr>
          <w:rFonts w:ascii="宋体" w:hAnsi="宋体" w:eastAsia="宋体" w:cs="宋体"/>
          <w:b/>
          <w:bCs/>
          <w:szCs w:val="21"/>
          <w:highlight w:val="none"/>
          <w:u w:val="none"/>
        </w:rPr>
      </w:pPr>
      <w:r>
        <w:rPr>
          <w:rFonts w:hint="eastAsia" w:ascii="宋体" w:hAnsi="宋体" w:eastAsia="宋体" w:cs="宋体"/>
          <w:szCs w:val="21"/>
          <w:highlight w:val="none"/>
        </w:rPr>
        <w:t>本合同包的质量要求：</w:t>
      </w:r>
      <w:r>
        <w:rPr>
          <w:rFonts w:hint="eastAsia" w:ascii="宋体" w:hAnsi="宋体" w:eastAsia="宋体" w:cs="宋体"/>
          <w:b/>
          <w:bCs/>
          <w:szCs w:val="21"/>
          <w:highlight w:val="none"/>
          <w:u w:val="none"/>
        </w:rPr>
        <w:t>严格按照技术要求和国家、部(专业)有关标准生产和检验，确保产品质量。并且完全符合本采购项目规定的质量、规格和性能的要求，并保证产品是全新的、未使用的</w:t>
      </w:r>
      <w:r>
        <w:rPr>
          <w:rFonts w:hint="eastAsia" w:ascii="宋体" w:hAnsi="宋体" w:eastAsia="宋体" w:cs="宋体"/>
          <w:b/>
          <w:bCs/>
          <w:szCs w:val="21"/>
          <w:highlight w:val="none"/>
          <w:u w:val="none"/>
          <w:lang w:eastAsia="zh-CN"/>
        </w:rPr>
        <w:t>，</w:t>
      </w:r>
      <w:r>
        <w:rPr>
          <w:rFonts w:hint="eastAsia" w:ascii="宋体" w:hAnsi="宋体" w:eastAsia="宋体" w:cs="宋体"/>
          <w:b/>
          <w:bCs/>
          <w:szCs w:val="21"/>
          <w:highlight w:val="none"/>
          <w:u w:val="none"/>
          <w:lang w:val="en-US" w:eastAsia="zh-CN"/>
        </w:rPr>
        <w:t>不得采用梯次电池</w:t>
      </w:r>
      <w:r>
        <w:rPr>
          <w:rFonts w:hint="eastAsia" w:ascii="宋体" w:hAnsi="宋体" w:eastAsia="宋体" w:cs="宋体"/>
          <w:b/>
          <w:bCs/>
          <w:szCs w:val="21"/>
          <w:highlight w:val="none"/>
          <w:u w:val="none"/>
        </w:rPr>
        <w:t>。</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2</w:t>
      </w:r>
      <w:r>
        <w:rPr>
          <w:rFonts w:ascii="Times New Roman" w:hAnsi="Times New Roman" w:eastAsia="黑体" w:cs="Times New Roman"/>
          <w:bCs/>
          <w:sz w:val="24"/>
          <w:szCs w:val="32"/>
          <w:highlight w:val="none"/>
        </w:rPr>
        <w:t>供应商资格要求</w:t>
      </w:r>
    </w:p>
    <w:p>
      <w:pPr>
        <w:spacing w:line="440" w:lineRule="exact"/>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2</w:t>
      </w:r>
      <w:r>
        <w:rPr>
          <w:rFonts w:ascii="Times New Roman" w:hAnsi="Times New Roman" w:cs="Times New Roman"/>
          <w:szCs w:val="21"/>
          <w:highlight w:val="none"/>
        </w:rPr>
        <w:t>.1供应商应具备承担本合同包</w:t>
      </w:r>
      <w:r>
        <w:rPr>
          <w:rFonts w:hint="eastAsia" w:ascii="Times New Roman" w:hAnsi="Times New Roman" w:cs="Times New Roman"/>
          <w:szCs w:val="21"/>
          <w:highlight w:val="none"/>
        </w:rPr>
        <w:t>供货</w:t>
      </w:r>
      <w:r>
        <w:rPr>
          <w:rFonts w:ascii="Times New Roman" w:hAnsi="Times New Roman" w:cs="Times New Roman"/>
          <w:szCs w:val="21"/>
          <w:highlight w:val="none"/>
        </w:rPr>
        <w:t>的资质条件、能力和信誉：见第一章</w:t>
      </w:r>
      <w:r>
        <w:rPr>
          <w:rFonts w:hint="eastAsia" w:ascii="Times New Roman" w:hAnsi="Times New Roman" w:cs="Times New Roman"/>
          <w:szCs w:val="21"/>
          <w:highlight w:val="none"/>
        </w:rPr>
        <w:t xml:space="preserve"> 采购公告。</w:t>
      </w:r>
    </w:p>
    <w:p>
      <w:pPr>
        <w:spacing w:line="440" w:lineRule="exact"/>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2</w:t>
      </w:r>
      <w:r>
        <w:rPr>
          <w:rFonts w:ascii="Times New Roman" w:hAnsi="Times New Roman" w:cs="Times New Roman"/>
          <w:szCs w:val="21"/>
          <w:highlight w:val="none"/>
        </w:rPr>
        <w:t>.</w:t>
      </w:r>
      <w:r>
        <w:rPr>
          <w:rFonts w:hint="eastAsia" w:ascii="Times New Roman" w:hAnsi="Times New Roman" w:cs="Times New Roman"/>
          <w:szCs w:val="21"/>
          <w:highlight w:val="none"/>
        </w:rPr>
        <w:t>2</w:t>
      </w:r>
      <w:r>
        <w:rPr>
          <w:rFonts w:ascii="Times New Roman" w:hAnsi="Times New Roman" w:cs="Times New Roman"/>
          <w:szCs w:val="21"/>
          <w:highlight w:val="none"/>
        </w:rPr>
        <w:t>其他</w:t>
      </w:r>
      <w:r>
        <w:rPr>
          <w:rFonts w:hint="eastAsia" w:ascii="Times New Roman" w:hAnsi="Times New Roman" w:cs="Times New Roman"/>
          <w:szCs w:val="21"/>
          <w:highlight w:val="none"/>
        </w:rPr>
        <w:t>要求：</w:t>
      </w:r>
      <w:r>
        <w:rPr>
          <w:rFonts w:hint="eastAsia" w:ascii="Times New Roman" w:hAnsi="Times New Roman" w:cs="Times New Roman"/>
          <w:szCs w:val="21"/>
          <w:highlight w:val="none"/>
          <w:u w:val="single"/>
        </w:rPr>
        <w:t>无</w:t>
      </w:r>
      <w:r>
        <w:rPr>
          <w:rFonts w:ascii="Times New Roman" w:hAnsi="Times New Roman" w:cs="Times New Roman"/>
          <w:szCs w:val="21"/>
          <w:highlight w:val="none"/>
        </w:rPr>
        <w:t>。</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3</w:t>
      </w:r>
      <w:r>
        <w:rPr>
          <w:rFonts w:ascii="Times New Roman" w:hAnsi="Times New Roman" w:eastAsia="黑体" w:cs="Times New Roman"/>
          <w:bCs/>
          <w:sz w:val="24"/>
          <w:szCs w:val="32"/>
          <w:highlight w:val="none"/>
        </w:rPr>
        <w:t>费用承担</w:t>
      </w:r>
    </w:p>
    <w:p>
      <w:pPr>
        <w:spacing w:line="440" w:lineRule="exact"/>
        <w:ind w:firstLine="420"/>
        <w:rPr>
          <w:rFonts w:ascii="Times New Roman" w:hAnsi="Times New Roman" w:cs="Times New Roman"/>
          <w:highlight w:val="none"/>
        </w:rPr>
      </w:pPr>
      <w:r>
        <w:rPr>
          <w:rFonts w:ascii="Times New Roman" w:hAnsi="Times New Roman" w:cs="Times New Roman"/>
          <w:szCs w:val="21"/>
          <w:highlight w:val="none"/>
        </w:rPr>
        <w:t>供应商</w:t>
      </w:r>
      <w:r>
        <w:rPr>
          <w:rFonts w:ascii="Times New Roman" w:hAnsi="Times New Roman" w:cs="Times New Roman"/>
          <w:highlight w:val="none"/>
        </w:rPr>
        <w:t>准备和参加询比活动发生的费用自理。</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4</w:t>
      </w:r>
      <w:r>
        <w:rPr>
          <w:rFonts w:ascii="Times New Roman" w:hAnsi="Times New Roman" w:eastAsia="黑体" w:cs="Times New Roman"/>
          <w:bCs/>
          <w:sz w:val="24"/>
          <w:szCs w:val="32"/>
          <w:highlight w:val="none"/>
        </w:rPr>
        <w:t>保密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5</w:t>
      </w:r>
      <w:r>
        <w:rPr>
          <w:rFonts w:ascii="Times New Roman" w:hAnsi="Times New Roman" w:eastAsia="黑体" w:cs="Times New Roman"/>
          <w:bCs/>
          <w:sz w:val="24"/>
          <w:szCs w:val="32"/>
          <w:highlight w:val="none"/>
        </w:rPr>
        <w:t>计量单位</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所有计量均采用中华人民共和国法定计量单位。</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6</w:t>
      </w:r>
      <w:r>
        <w:rPr>
          <w:rFonts w:ascii="Times New Roman" w:hAnsi="Times New Roman" w:eastAsia="黑体" w:cs="Times New Roman"/>
          <w:bCs/>
          <w:sz w:val="24"/>
          <w:szCs w:val="32"/>
          <w:highlight w:val="none"/>
        </w:rPr>
        <w:t>踏勘现场</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w:t>
      </w:r>
      <w:r>
        <w:rPr>
          <w:rFonts w:hint="eastAsia" w:ascii="Times New Roman" w:hAnsi="Times New Roman" w:cs="Times New Roman"/>
          <w:highlight w:val="none"/>
        </w:rPr>
        <w:t>自行</w:t>
      </w:r>
      <w:r>
        <w:rPr>
          <w:rFonts w:ascii="Times New Roman" w:hAnsi="Times New Roman" w:cs="Times New Roman"/>
          <w:highlight w:val="none"/>
        </w:rPr>
        <w:t>踏勘现场</w:t>
      </w:r>
      <w:r>
        <w:rPr>
          <w:rFonts w:hint="eastAsia" w:ascii="Times New Roman" w:hAnsi="Times New Roman" w:cs="Times New Roman"/>
          <w:highlight w:val="none"/>
        </w:rPr>
        <w:t>且</w:t>
      </w:r>
      <w:r>
        <w:rPr>
          <w:rFonts w:ascii="Times New Roman" w:hAnsi="Times New Roman" w:cs="Times New Roman"/>
          <w:highlight w:val="none"/>
        </w:rPr>
        <w:t>费用自理。</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7</w:t>
      </w:r>
      <w:r>
        <w:rPr>
          <w:rFonts w:ascii="Times New Roman" w:hAnsi="Times New Roman" w:eastAsia="黑体" w:cs="Times New Roman"/>
          <w:bCs/>
          <w:sz w:val="24"/>
          <w:szCs w:val="32"/>
          <w:highlight w:val="none"/>
        </w:rPr>
        <w:t>分包</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不分包。</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8</w:t>
      </w:r>
      <w:r>
        <w:rPr>
          <w:rFonts w:ascii="Times New Roman" w:hAnsi="Times New Roman" w:eastAsia="黑体" w:cs="Times New Roman"/>
          <w:bCs/>
          <w:sz w:val="24"/>
          <w:szCs w:val="32"/>
          <w:highlight w:val="none"/>
        </w:rPr>
        <w:t>偏</w:t>
      </w:r>
      <w:r>
        <w:rPr>
          <w:rFonts w:hint="eastAsia" w:ascii="Times New Roman" w:hAnsi="Times New Roman" w:eastAsia="黑体" w:cs="Times New Roman"/>
          <w:bCs/>
          <w:sz w:val="24"/>
          <w:szCs w:val="32"/>
          <w:highlight w:val="none"/>
        </w:rPr>
        <w:t>差</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8</w:t>
      </w:r>
      <w:r>
        <w:rPr>
          <w:rFonts w:ascii="Times New Roman" w:hAnsi="Times New Roman" w:cs="Times New Roman"/>
          <w:highlight w:val="none"/>
        </w:rPr>
        <w:t>.1偏差包括重大偏差和细微偏差。</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8</w:t>
      </w:r>
      <w:r>
        <w:rPr>
          <w:rFonts w:ascii="Times New Roman" w:hAnsi="Times New Roman" w:cs="Times New Roman"/>
          <w:highlight w:val="none"/>
        </w:rPr>
        <w:t>.2 响应文件存在第三章“评审办法”中所列任一否决</w:t>
      </w:r>
      <w:r>
        <w:rPr>
          <w:rFonts w:hint="eastAsia" w:ascii="Times New Roman" w:hAnsi="Times New Roman" w:cs="Times New Roman"/>
          <w:highlight w:val="none"/>
        </w:rPr>
        <w:t>响应文件</w:t>
      </w:r>
      <w:r>
        <w:rPr>
          <w:rFonts w:ascii="Times New Roman" w:hAnsi="Times New Roman" w:cs="Times New Roman"/>
          <w:highlight w:val="none"/>
        </w:rPr>
        <w:t>情形的，均属于存在重大偏差</w:t>
      </w:r>
      <w:r>
        <w:rPr>
          <w:rFonts w:hint="eastAsia" w:ascii="Times New Roman" w:hAnsi="Times New Roman" w:cs="Times New Roman"/>
          <w:highlight w:val="none"/>
        </w:rPr>
        <w:t>，响应文件将被否决</w:t>
      </w:r>
      <w:r>
        <w:rPr>
          <w:rFonts w:ascii="Times New Roman" w:hAnsi="Times New Roman" w:cs="Times New Roman"/>
          <w:highlight w:val="none"/>
        </w:rPr>
        <w:t>。</w:t>
      </w:r>
    </w:p>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 询比文件</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2.1 询比文件的组成</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本询比文件包括：</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采购公告</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（2）供应商须知；</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（3）评审办法；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（4）合同条款及格式；</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（5）采购需求及清单；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（6）响应文件格式</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根据本章第2.2款对询比文件所作的澄清、修改，构成询比文件的组成部分。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2.2 询比文件的澄清</w:t>
      </w:r>
      <w:r>
        <w:rPr>
          <w:rFonts w:hint="eastAsia" w:ascii="Times New Roman" w:hAnsi="Times New Roman" w:eastAsia="黑体" w:cs="Times New Roman"/>
          <w:bCs/>
          <w:sz w:val="24"/>
          <w:szCs w:val="32"/>
          <w:highlight w:val="none"/>
        </w:rPr>
        <w:t>与修改</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2.2.1供应商如有疑问，应在递交</w:t>
      </w:r>
      <w:r>
        <w:rPr>
          <w:rFonts w:hint="eastAsia" w:ascii="Times New Roman" w:hAnsi="Times New Roman" w:cs="Times New Roman"/>
          <w:highlight w:val="none"/>
        </w:rPr>
        <w:t>响应</w:t>
      </w:r>
      <w:r>
        <w:rPr>
          <w:rFonts w:ascii="Times New Roman" w:hAnsi="Times New Roman" w:cs="Times New Roman"/>
          <w:highlight w:val="none"/>
        </w:rPr>
        <w:t>文件的截止时间</w:t>
      </w:r>
      <w:r>
        <w:rPr>
          <w:rFonts w:hint="eastAsia" w:ascii="Times New Roman" w:hAnsi="Times New Roman" w:cs="Times New Roman"/>
          <w:highlight w:val="none"/>
        </w:rPr>
        <w:t>前3日</w:t>
      </w:r>
      <w:r>
        <w:rPr>
          <w:rFonts w:ascii="Times New Roman" w:hAnsi="Times New Roman" w:cs="Times New Roman"/>
          <w:highlight w:val="none"/>
        </w:rPr>
        <w:t>前</w:t>
      </w:r>
      <w:r>
        <w:rPr>
          <w:rFonts w:hint="eastAsia" w:ascii="Times New Roman" w:hAnsi="Times New Roman" w:cs="Times New Roman"/>
          <w:highlight w:val="none"/>
        </w:rPr>
        <w:t>通过递交书面质疑函</w:t>
      </w:r>
      <w:r>
        <w:rPr>
          <w:rFonts w:ascii="Times New Roman" w:hAnsi="Times New Roman" w:cs="Times New Roman"/>
          <w:highlight w:val="none"/>
        </w:rPr>
        <w:t>要求采购人对询比文件予以澄清</w:t>
      </w:r>
      <w:r>
        <w:rPr>
          <w:rFonts w:hint="eastAsia" w:ascii="Times New Roman" w:hAnsi="Times New Roman" w:cs="Times New Roman"/>
          <w:highlight w:val="none"/>
        </w:rPr>
        <w:t>或修改</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2.2.</w:t>
      </w:r>
      <w:r>
        <w:rPr>
          <w:rFonts w:hint="eastAsia" w:ascii="Times New Roman" w:hAnsi="Times New Roman" w:cs="Times New Roman"/>
          <w:highlight w:val="none"/>
        </w:rPr>
        <w:t>2</w:t>
      </w:r>
      <w:r>
        <w:rPr>
          <w:rFonts w:ascii="Times New Roman" w:hAnsi="Times New Roman" w:cs="Times New Roman"/>
          <w:highlight w:val="none"/>
        </w:rPr>
        <w:t>除非采购人认为确有必要答复，否则，采购人有权拒绝回复供应商在本章第2.2.1项规定的时间后提出的任何澄清</w:t>
      </w:r>
      <w:r>
        <w:rPr>
          <w:rFonts w:hint="eastAsia" w:ascii="Times New Roman" w:hAnsi="Times New Roman" w:cs="Times New Roman"/>
          <w:highlight w:val="none"/>
        </w:rPr>
        <w:t>或修改</w:t>
      </w:r>
      <w:r>
        <w:rPr>
          <w:rFonts w:ascii="Times New Roman" w:hAnsi="Times New Roman" w:cs="Times New Roman"/>
          <w:highlight w:val="none"/>
        </w:rPr>
        <w:t>要求。</w:t>
      </w:r>
    </w:p>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 响应文件</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3.1响应文件的组成</w:t>
      </w:r>
    </w:p>
    <w:p>
      <w:pPr>
        <w:spacing w:line="400" w:lineRule="atLeast"/>
        <w:ind w:firstLine="420"/>
        <w:rPr>
          <w:rFonts w:ascii="Times New Roman" w:hAnsi="Times New Roman" w:cs="Times New Roman"/>
          <w:highlight w:val="none"/>
        </w:rPr>
      </w:pPr>
      <w:r>
        <w:rPr>
          <w:rFonts w:ascii="Times New Roman" w:hAnsi="Times New Roman" w:cs="Times New Roman"/>
          <w:highlight w:val="none"/>
        </w:rPr>
        <w:t>响应文件应包括下列内容：</w:t>
      </w:r>
    </w:p>
    <w:p>
      <w:pPr>
        <w:spacing w:line="400" w:lineRule="atLeast"/>
        <w:ind w:firstLine="420"/>
        <w:rPr>
          <w:rFonts w:ascii="Times New Roman" w:hAnsi="Times New Roman" w:cs="Times New Roman"/>
          <w:highlight w:val="none"/>
        </w:rPr>
      </w:pPr>
      <w:r>
        <w:rPr>
          <w:rFonts w:hint="eastAsia" w:ascii="Times New Roman" w:hAnsi="Times New Roman" w:cs="Times New Roman"/>
          <w:highlight w:val="none"/>
        </w:rPr>
        <w:t>（1）</w:t>
      </w:r>
      <w:r>
        <w:rPr>
          <w:rFonts w:ascii="Times New Roman" w:hAnsi="Times New Roman" w:cs="Times New Roman"/>
          <w:highlight w:val="none"/>
        </w:rPr>
        <w:t>报价函</w:t>
      </w:r>
      <w:r>
        <w:rPr>
          <w:rFonts w:hint="eastAsia" w:ascii="Times New Roman" w:hAnsi="Times New Roman" w:cs="Times New Roman"/>
          <w:highlight w:val="none"/>
        </w:rPr>
        <w:t>；</w:t>
      </w:r>
    </w:p>
    <w:p>
      <w:pPr>
        <w:spacing w:line="400" w:lineRule="atLeast"/>
        <w:ind w:firstLine="420"/>
        <w:rPr>
          <w:rFonts w:ascii="Times New Roman" w:hAnsi="Times New Roman" w:cs="Times New Roman"/>
          <w:highlight w:val="none"/>
        </w:rPr>
      </w:pPr>
      <w:r>
        <w:rPr>
          <w:rFonts w:hint="eastAsia" w:ascii="Times New Roman" w:hAnsi="Times New Roman" w:cs="Times New Roman"/>
          <w:highlight w:val="none"/>
        </w:rPr>
        <w:t>（2）</w:t>
      </w:r>
      <w:r>
        <w:rPr>
          <w:rFonts w:ascii="Times New Roman" w:hAnsi="Times New Roman" w:cs="Times New Roman"/>
          <w:highlight w:val="none"/>
        </w:rPr>
        <w:t>法定代表人身份证明及授权委托书</w:t>
      </w:r>
      <w:r>
        <w:rPr>
          <w:rFonts w:hint="eastAsia" w:ascii="Times New Roman" w:hAnsi="Times New Roman" w:cs="Times New Roman"/>
          <w:highlight w:val="none"/>
        </w:rPr>
        <w:t>；</w:t>
      </w:r>
    </w:p>
    <w:p>
      <w:pPr>
        <w:spacing w:line="400" w:lineRule="atLeast"/>
        <w:ind w:firstLine="420"/>
        <w:rPr>
          <w:rFonts w:ascii="Times New Roman" w:hAnsi="Times New Roman" w:cs="Times New Roman"/>
          <w:highlight w:val="none"/>
        </w:rPr>
      </w:pPr>
      <w:r>
        <w:rPr>
          <w:rFonts w:hint="eastAsia" w:ascii="Times New Roman" w:hAnsi="Times New Roman" w:cs="Times New Roman"/>
          <w:highlight w:val="none"/>
        </w:rPr>
        <w:t>（3）</w:t>
      </w:r>
      <w:r>
        <w:rPr>
          <w:rFonts w:ascii="Times New Roman" w:hAnsi="Times New Roman" w:cs="Times New Roman"/>
          <w:highlight w:val="none"/>
        </w:rPr>
        <w:t>已标价的</w:t>
      </w:r>
      <w:r>
        <w:rPr>
          <w:rFonts w:hint="eastAsia" w:ascii="Times New Roman" w:hAnsi="Times New Roman" w:cs="Times New Roman"/>
          <w:highlight w:val="none"/>
        </w:rPr>
        <w:t>报价清单；</w:t>
      </w:r>
    </w:p>
    <w:p>
      <w:pPr>
        <w:spacing w:line="400" w:lineRule="atLeast"/>
        <w:ind w:firstLine="420"/>
        <w:rPr>
          <w:rFonts w:ascii="Times New Roman" w:hAnsi="Times New Roman" w:cs="Times New Roman"/>
          <w:highlight w:val="none"/>
        </w:rPr>
      </w:pPr>
      <w:r>
        <w:rPr>
          <w:rFonts w:hint="eastAsia" w:ascii="Times New Roman" w:hAnsi="Times New Roman" w:cs="Times New Roman"/>
          <w:highlight w:val="none"/>
        </w:rPr>
        <w:t>（4）</w:t>
      </w:r>
      <w:r>
        <w:rPr>
          <w:rFonts w:ascii="Times New Roman" w:hAnsi="Times New Roman" w:cs="Times New Roman"/>
          <w:highlight w:val="none"/>
        </w:rPr>
        <w:t>供应商基本情况</w:t>
      </w:r>
      <w:r>
        <w:rPr>
          <w:rFonts w:hint="eastAsia" w:ascii="Times New Roman" w:hAnsi="Times New Roman" w:cs="Times New Roman"/>
          <w:highlight w:val="none"/>
        </w:rPr>
        <w:t>；</w:t>
      </w:r>
    </w:p>
    <w:p>
      <w:pPr>
        <w:spacing w:line="400" w:lineRule="atLeast"/>
        <w:ind w:firstLine="420"/>
        <w:rPr>
          <w:rFonts w:ascii="Times New Roman" w:hAnsi="Times New Roman" w:cs="Times New Roman"/>
          <w:highlight w:val="none"/>
        </w:rPr>
      </w:pPr>
      <w:r>
        <w:rPr>
          <w:rFonts w:hint="eastAsia" w:ascii="Times New Roman" w:hAnsi="Times New Roman" w:cs="Times New Roman"/>
          <w:highlight w:val="none"/>
        </w:rPr>
        <w:t>（5）</w:t>
      </w:r>
      <w:r>
        <w:rPr>
          <w:rFonts w:ascii="Times New Roman" w:hAnsi="Times New Roman" w:cs="Times New Roman"/>
          <w:highlight w:val="none"/>
        </w:rPr>
        <w:t>近年类似业绩情况</w:t>
      </w:r>
      <w:r>
        <w:rPr>
          <w:rFonts w:hint="eastAsia" w:ascii="Times New Roman" w:hAnsi="Times New Roman" w:cs="Times New Roman"/>
          <w:highlight w:val="none"/>
        </w:rPr>
        <w:t>；</w:t>
      </w:r>
    </w:p>
    <w:p>
      <w:pPr>
        <w:spacing w:line="400" w:lineRule="atLeast"/>
        <w:ind w:firstLine="420"/>
        <w:rPr>
          <w:rFonts w:ascii="Times New Roman" w:hAnsi="Times New Roman" w:cs="Times New Roman"/>
          <w:highlight w:val="none"/>
        </w:rPr>
      </w:pPr>
      <w:r>
        <w:rPr>
          <w:rFonts w:hint="eastAsia" w:ascii="Times New Roman" w:hAnsi="Times New Roman" w:cs="Times New Roman"/>
          <w:highlight w:val="none"/>
        </w:rPr>
        <w:t>（6）</w:t>
      </w:r>
      <w:r>
        <w:rPr>
          <w:rFonts w:ascii="Times New Roman" w:hAnsi="Times New Roman" w:cs="Times New Roman"/>
          <w:highlight w:val="none"/>
        </w:rPr>
        <w:t>信誉情况</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（7）</w:t>
      </w:r>
      <w:r>
        <w:rPr>
          <w:rFonts w:hint="eastAsia" w:ascii="Times New Roman" w:hAnsi="Times New Roman" w:cs="Times New Roman"/>
          <w:szCs w:val="21"/>
          <w:highlight w:val="none"/>
        </w:rPr>
        <w:t>技术性能（质量）指标描述</w:t>
      </w:r>
      <w:r>
        <w:rPr>
          <w:rFonts w:hint="eastAsia" w:ascii="Times New Roman" w:hAnsi="Times New Roman" w:cs="Times New Roman"/>
          <w:highlight w:val="none"/>
        </w:rPr>
        <w:t>；</w:t>
      </w:r>
    </w:p>
    <w:p>
      <w:pPr>
        <w:spacing w:line="440" w:lineRule="exact"/>
        <w:ind w:firstLine="420"/>
        <w:rPr>
          <w:highlight w:val="none"/>
        </w:rPr>
      </w:pPr>
      <w:r>
        <w:rPr>
          <w:rFonts w:hint="eastAsia" w:ascii="Times New Roman" w:hAnsi="Times New Roman" w:cs="Times New Roman"/>
          <w:highlight w:val="none"/>
        </w:rPr>
        <w:t>（8）供货方案；</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（9）</w:t>
      </w:r>
      <w:r>
        <w:rPr>
          <w:rFonts w:ascii="Times New Roman" w:hAnsi="Times New Roman" w:cs="Times New Roman"/>
          <w:highlight w:val="none"/>
        </w:rPr>
        <w:t>其他材料</w:t>
      </w:r>
      <w:r>
        <w:rPr>
          <w:rFonts w:hint="eastAsia"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3.2 报价要求</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3.2.1 报价应包括国家规定的增值税税金</w:t>
      </w:r>
      <w:r>
        <w:rPr>
          <w:rFonts w:hint="eastAsia" w:ascii="Times New Roman" w:hAnsi="Times New Roman" w:cs="Times New Roman"/>
          <w:highlight w:val="none"/>
        </w:rPr>
        <w:t>，供应商应提供增值税发票13%</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 xml:space="preserve">3.2.2 </w:t>
      </w:r>
      <w:r>
        <w:rPr>
          <w:rFonts w:ascii="Times New Roman" w:hAnsi="Times New Roman" w:cs="Times New Roman"/>
          <w:highlight w:val="none"/>
        </w:rPr>
        <w:t>供应商应按第六章“响应文件格式”的要求在报价函中进行报价并填写</w:t>
      </w:r>
      <w:r>
        <w:rPr>
          <w:rFonts w:hint="eastAsia" w:ascii="Times New Roman" w:hAnsi="Times New Roman" w:cs="Times New Roman"/>
          <w:highlight w:val="none"/>
        </w:rPr>
        <w:t>报价清单</w:t>
      </w:r>
      <w:r>
        <w:rPr>
          <w:rFonts w:ascii="Times New Roman" w:hAnsi="Times New Roman" w:cs="Times New Roman"/>
          <w:highlight w:val="none"/>
        </w:rPr>
        <w:t>相应表格。</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3.2.</w:t>
      </w:r>
      <w:r>
        <w:rPr>
          <w:rFonts w:hint="eastAsia" w:ascii="Times New Roman" w:hAnsi="Times New Roman" w:cs="Times New Roman"/>
          <w:highlight w:val="none"/>
        </w:rPr>
        <w:t>3</w:t>
      </w:r>
      <w:r>
        <w:rPr>
          <w:rFonts w:ascii="Times New Roman" w:hAnsi="Times New Roman" w:cs="Times New Roman"/>
          <w:highlight w:val="none"/>
        </w:rPr>
        <w:t>采购人设有最高限价的，供应商的报价不得超过最高限价，</w:t>
      </w:r>
      <w:r>
        <w:rPr>
          <w:rFonts w:hint="eastAsia" w:ascii="Times New Roman" w:hAnsi="Times New Roman" w:cs="Times New Roman"/>
          <w:highlight w:val="none"/>
        </w:rPr>
        <w:t>否则其报价将被否决，</w:t>
      </w:r>
      <w:r>
        <w:rPr>
          <w:rFonts w:ascii="Times New Roman" w:hAnsi="Times New Roman" w:cs="Times New Roman"/>
          <w:highlight w:val="none"/>
        </w:rPr>
        <w:t>最高限价</w:t>
      </w:r>
      <w:r>
        <w:rPr>
          <w:rFonts w:hint="eastAsia" w:ascii="Times New Roman" w:hAnsi="Times New Roman" w:cs="Times New Roman"/>
          <w:highlight w:val="none"/>
        </w:rPr>
        <w:t>见第一章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highlight w:val="none"/>
        </w:rPr>
        <w:t>第2.5款</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3.2.4</w:t>
      </w:r>
      <w:r>
        <w:rPr>
          <w:rFonts w:ascii="Times New Roman" w:hAnsi="Times New Roman" w:cs="Times New Roman"/>
          <w:highlight w:val="none"/>
        </w:rPr>
        <w:t>本项目的报价方式</w:t>
      </w:r>
      <w:r>
        <w:rPr>
          <w:rFonts w:hint="eastAsia" w:ascii="Times New Roman" w:hAnsi="Times New Roman" w:cs="Times New Roman"/>
          <w:highlight w:val="none"/>
        </w:rPr>
        <w:t>为</w:t>
      </w:r>
      <w:r>
        <w:rPr>
          <w:rFonts w:hint="eastAsia" w:ascii="Times New Roman" w:hAnsi="Times New Roman" w:cs="Times New Roman"/>
          <w:highlight w:val="none"/>
          <w:u w:val="single"/>
        </w:rPr>
        <w:t>（总价）</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3.2.</w:t>
      </w:r>
      <w:r>
        <w:rPr>
          <w:rFonts w:hint="eastAsia" w:ascii="Times New Roman" w:hAnsi="Times New Roman" w:cs="Times New Roman"/>
          <w:highlight w:val="none"/>
        </w:rPr>
        <w:t>5</w:t>
      </w:r>
      <w:r>
        <w:rPr>
          <w:rFonts w:ascii="Times New Roman" w:hAnsi="Times New Roman" w:cs="Times New Roman"/>
          <w:highlight w:val="none"/>
        </w:rPr>
        <w:t>报价的其他要求</w:t>
      </w:r>
      <w:r>
        <w:rPr>
          <w:rFonts w:hint="eastAsia" w:ascii="Times New Roman" w:hAnsi="Times New Roman" w:cs="Times New Roman"/>
          <w:highlight w:val="none"/>
        </w:rPr>
        <w:t>：</w:t>
      </w:r>
    </w:p>
    <w:p>
      <w:pPr>
        <w:spacing w:line="340" w:lineRule="exact"/>
        <w:ind w:firstLine="420" w:firstLineChars="200"/>
        <w:rPr>
          <w:rFonts w:ascii="宋体" w:hAnsi="宋体" w:eastAsia="宋体" w:cs="宋体"/>
          <w:szCs w:val="21"/>
          <w:highlight w:val="none"/>
        </w:rPr>
      </w:pPr>
      <w:r>
        <w:rPr>
          <w:rFonts w:hint="eastAsia" w:ascii="宋体" w:hAnsi="宋体" w:eastAsia="宋体" w:cs="宋体"/>
          <w:szCs w:val="21"/>
          <w:highlight w:val="none"/>
        </w:rPr>
        <w:t>1、计价方式：本合同为</w:t>
      </w:r>
      <w:r>
        <w:rPr>
          <w:rFonts w:hint="eastAsia" w:ascii="宋体" w:hAnsi="宋体" w:eastAsia="宋体" w:cs="宋体"/>
          <w:szCs w:val="21"/>
          <w:highlight w:val="none"/>
          <w:u w:val="single"/>
        </w:rPr>
        <w:t>固定总价</w:t>
      </w:r>
      <w:r>
        <w:rPr>
          <w:rFonts w:hint="eastAsia" w:ascii="宋体" w:hAnsi="宋体" w:eastAsia="宋体" w:cs="宋体"/>
          <w:szCs w:val="21"/>
          <w:highlight w:val="none"/>
        </w:rPr>
        <w:t>合同，合同期内不调价；</w:t>
      </w:r>
    </w:p>
    <w:p>
      <w:pPr>
        <w:spacing w:line="440" w:lineRule="exact"/>
        <w:ind w:firstLine="420"/>
        <w:rPr>
          <w:rFonts w:ascii="Times New Roman" w:hAnsi="Times New Roman" w:cs="Times New Roman"/>
          <w:highlight w:val="none"/>
        </w:rPr>
      </w:pPr>
      <w:r>
        <w:rPr>
          <w:rFonts w:hint="eastAsia" w:ascii="宋体" w:hAnsi="宋体" w:eastAsia="宋体" w:cs="宋体"/>
          <w:szCs w:val="21"/>
          <w:highlight w:val="none"/>
        </w:rPr>
        <w:t>2、总价为设备生产、制造</w:t>
      </w:r>
      <w:r>
        <w:rPr>
          <w:rFonts w:hint="eastAsia" w:ascii="宋体" w:hAnsi="宋体" w:eastAsia="宋体" w:cs="宋体"/>
          <w:szCs w:val="21"/>
          <w:highlight w:val="none"/>
          <w:lang w:eastAsia="zh-CN"/>
        </w:rPr>
        <w:t>、</w:t>
      </w:r>
      <w:r>
        <w:rPr>
          <w:rFonts w:hint="eastAsia" w:ascii="宋体" w:hAnsi="宋体" w:eastAsia="宋体" w:cs="宋体"/>
          <w:szCs w:val="21"/>
          <w:highlight w:val="none"/>
        </w:rPr>
        <w:t>供货、包装运输（包括车辆运输至指定地点）、</w:t>
      </w:r>
      <w:r>
        <w:rPr>
          <w:rFonts w:hint="eastAsia" w:ascii="宋体" w:hAnsi="宋体" w:eastAsia="宋体" w:cs="宋体"/>
          <w:szCs w:val="21"/>
          <w:highlight w:val="none"/>
          <w:lang w:val="en-US" w:eastAsia="zh-CN"/>
        </w:rPr>
        <w:t>设计、</w:t>
      </w:r>
      <w:r>
        <w:rPr>
          <w:rFonts w:hint="eastAsia" w:ascii="宋体" w:hAnsi="宋体" w:eastAsia="宋体" w:cs="宋体"/>
          <w:szCs w:val="21"/>
          <w:highlight w:val="none"/>
        </w:rPr>
        <w:t>安装、调试、验收、取证、技术服务、损耗费、附属材料费、售后服务、税金、质保期维护维修服务等全部内容报价。</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3.3响应有效期</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3.3.1 响应有效期为</w:t>
      </w:r>
      <w:r>
        <w:rPr>
          <w:rFonts w:ascii="Times New Roman" w:hAnsi="Times New Roman" w:eastAsia="宋体" w:cs="Times New Roman"/>
          <w:szCs w:val="21"/>
          <w:highlight w:val="none"/>
        </w:rPr>
        <w:t>自供应商递交响应文件截止之日起计算</w:t>
      </w:r>
      <w:r>
        <w:rPr>
          <w:rFonts w:hint="eastAsia" w:ascii="Times New Roman" w:hAnsi="Times New Roman" w:eastAsia="宋体" w:cs="Times New Roman"/>
          <w:szCs w:val="21"/>
          <w:highlight w:val="none"/>
        </w:rPr>
        <w:t>9</w:t>
      </w:r>
      <w:r>
        <w:rPr>
          <w:rFonts w:ascii="Times New Roman" w:hAnsi="Times New Roman" w:eastAsia="宋体" w:cs="Times New Roman"/>
          <w:szCs w:val="21"/>
          <w:highlight w:val="none"/>
        </w:rPr>
        <w:t>0</w:t>
      </w:r>
      <w:r>
        <w:rPr>
          <w:rFonts w:ascii="Times New Roman" w:hAnsi="Times New Roman" w:cs="Times New Roman"/>
          <w:highlight w:val="none"/>
        </w:rPr>
        <w:t>日。</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highlight w:val="none"/>
        </w:rPr>
      </w:pPr>
      <w:bookmarkStart w:id="44" w:name="_Toc26656960"/>
      <w:bookmarkStart w:id="45" w:name="_Toc14201229"/>
      <w:r>
        <w:rPr>
          <w:rFonts w:ascii="Times New Roman" w:hAnsi="Times New Roman" w:eastAsia="黑体" w:cs="Times New Roman"/>
          <w:bCs/>
          <w:sz w:val="24"/>
          <w:szCs w:val="32"/>
          <w:highlight w:val="none"/>
        </w:rPr>
        <w:t>3.4</w:t>
      </w:r>
      <w:bookmarkEnd w:id="44"/>
      <w:bookmarkEnd w:id="45"/>
      <w:r>
        <w:rPr>
          <w:rFonts w:ascii="Times New Roman" w:hAnsi="Times New Roman" w:eastAsia="黑体" w:cs="Times New Roman"/>
          <w:bCs/>
          <w:sz w:val="24"/>
          <w:szCs w:val="32"/>
          <w:highlight w:val="none"/>
        </w:rPr>
        <w:t>响应保证金</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3.4.1 供应商在递交响应文件的同时，应按</w:t>
      </w:r>
      <w:r>
        <w:rPr>
          <w:rFonts w:hint="eastAsia" w:ascii="Times New Roman" w:hAnsi="Times New Roman" w:eastAsia="宋体" w:cs="Times New Roman"/>
          <w:highlight w:val="none"/>
        </w:rPr>
        <w:t>第一章</w:t>
      </w:r>
      <w:r>
        <w:rPr>
          <w:rFonts w:ascii="Times New Roman" w:hAnsi="Times New Roman" w:eastAsia="宋体" w:cs="Times New Roman"/>
          <w:highlight w:val="none"/>
        </w:rPr>
        <w:t>“</w:t>
      </w:r>
      <w:r>
        <w:rPr>
          <w:rFonts w:hint="eastAsia" w:ascii="Times New Roman" w:hAnsi="Times New Roman" w:eastAsia="宋体" w:cs="Times New Roman"/>
          <w:szCs w:val="21"/>
          <w:highlight w:val="none"/>
        </w:rPr>
        <w:t>采购公告</w:t>
      </w:r>
      <w:r>
        <w:rPr>
          <w:rFonts w:ascii="Times New Roman" w:hAnsi="Times New Roman" w:eastAsia="宋体" w:cs="Times New Roman"/>
          <w:highlight w:val="none"/>
        </w:rPr>
        <w:t>”</w:t>
      </w:r>
      <w:r>
        <w:rPr>
          <w:rFonts w:hint="eastAsia" w:ascii="Times New Roman" w:hAnsi="Times New Roman" w:eastAsia="宋体" w:cs="Times New Roman"/>
          <w:highlight w:val="none"/>
        </w:rPr>
        <w:t>第7条的要求</w:t>
      </w:r>
      <w:r>
        <w:rPr>
          <w:rFonts w:ascii="Times New Roman" w:hAnsi="Times New Roman" w:eastAsia="宋体" w:cs="Times New Roman"/>
          <w:highlight w:val="none"/>
        </w:rPr>
        <w:t>递交响应保证金，并作为其响应文件的组成部分。</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无论采取何种形式的响应保证金，响应保证金有效期均应与响应有效期一致。</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3.4.2 供应商不按本章第3.4.1项要求提交响应保证金的，</w:t>
      </w:r>
      <w:r>
        <w:rPr>
          <w:rFonts w:hint="eastAsia" w:ascii="Times New Roman" w:hAnsi="Times New Roman" w:eastAsia="宋体" w:cs="Times New Roman"/>
          <w:highlight w:val="none"/>
        </w:rPr>
        <w:t>评审小组</w:t>
      </w:r>
      <w:r>
        <w:rPr>
          <w:rFonts w:ascii="Times New Roman" w:hAnsi="Times New Roman" w:eastAsia="宋体" w:cs="Times New Roman"/>
          <w:highlight w:val="none"/>
        </w:rPr>
        <w:t>将否决其</w:t>
      </w:r>
      <w:r>
        <w:rPr>
          <w:rFonts w:hint="eastAsia" w:ascii="Times New Roman" w:hAnsi="Times New Roman" w:eastAsia="宋体" w:cs="Times New Roman"/>
          <w:highlight w:val="none"/>
        </w:rPr>
        <w:t>响应文件</w:t>
      </w:r>
      <w:r>
        <w:rPr>
          <w:rFonts w:ascii="Times New Roman" w:hAnsi="Times New Roman" w:eastAsia="宋体" w:cs="Times New Roman"/>
          <w:highlight w:val="none"/>
        </w:rPr>
        <w:t>。</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3.4.3 采购人在与成交人签订合同后5日内办理退还响应保证金手续。</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3.4.4 有下列情形之一的，响应保证金将不予退还：</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（1）供应商在规定的响应有效期内撤销其响应文件；</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keepNext/>
        <w:keepLines/>
        <w:spacing w:before="120" w:after="120"/>
        <w:outlineLvl w:val="2"/>
        <w:rPr>
          <w:rFonts w:ascii="Times New Roman" w:hAnsi="Times New Roman" w:eastAsia="黑体" w:cs="Times New Roman"/>
          <w:bCs/>
          <w:sz w:val="24"/>
          <w:szCs w:val="32"/>
          <w:highlight w:val="none"/>
        </w:rPr>
      </w:pPr>
      <w:bookmarkStart w:id="46" w:name="_Toc26656961"/>
      <w:bookmarkStart w:id="47" w:name="_Toc14201230"/>
      <w:r>
        <w:rPr>
          <w:rFonts w:ascii="Times New Roman" w:hAnsi="Times New Roman" w:eastAsia="黑体" w:cs="Times New Roman"/>
          <w:bCs/>
          <w:sz w:val="24"/>
          <w:szCs w:val="32"/>
          <w:highlight w:val="none"/>
        </w:rPr>
        <w:t>3.5资格审查资料</w:t>
      </w:r>
      <w:bookmarkEnd w:id="46"/>
      <w:bookmarkEnd w:id="47"/>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供应商应按第六章“响应文件格式”</w:t>
      </w:r>
      <w:r>
        <w:rPr>
          <w:rFonts w:hint="eastAsia" w:ascii="Times New Roman" w:hAnsi="Times New Roman" w:eastAsia="宋体" w:cs="Times New Roman"/>
          <w:highlight w:val="none"/>
        </w:rPr>
        <w:t>的</w:t>
      </w:r>
      <w:r>
        <w:rPr>
          <w:rFonts w:ascii="Times New Roman" w:hAnsi="Times New Roman" w:eastAsia="宋体" w:cs="Times New Roman"/>
          <w:highlight w:val="none"/>
        </w:rPr>
        <w:t>规定提供资格审查资料，以证明其满足本章第1.</w:t>
      </w:r>
      <w:r>
        <w:rPr>
          <w:rFonts w:hint="eastAsia" w:ascii="Times New Roman" w:hAnsi="Times New Roman" w:eastAsia="宋体" w:cs="Times New Roman"/>
          <w:highlight w:val="none"/>
        </w:rPr>
        <w:t>2</w:t>
      </w:r>
      <w:r>
        <w:rPr>
          <w:rFonts w:ascii="Times New Roman" w:hAnsi="Times New Roman" w:eastAsia="宋体" w:cs="Times New Roman"/>
          <w:highlight w:val="none"/>
        </w:rPr>
        <w:t>款规定的资质、业绩、信誉等要求。</w:t>
      </w:r>
    </w:p>
    <w:p>
      <w:pPr>
        <w:keepNext/>
        <w:keepLines/>
        <w:spacing w:before="120" w:after="120"/>
        <w:outlineLvl w:val="2"/>
        <w:rPr>
          <w:rFonts w:ascii="Times New Roman" w:hAnsi="Times New Roman" w:eastAsia="黑体" w:cs="Times New Roman"/>
          <w:bCs/>
          <w:sz w:val="24"/>
          <w:szCs w:val="32"/>
          <w:highlight w:val="none"/>
        </w:rPr>
      </w:pPr>
      <w:bookmarkStart w:id="48" w:name="_Toc14201232"/>
      <w:bookmarkStart w:id="49" w:name="_Toc26656963"/>
      <w:r>
        <w:rPr>
          <w:rFonts w:ascii="Times New Roman" w:hAnsi="Times New Roman" w:eastAsia="黑体" w:cs="Times New Roman"/>
          <w:bCs/>
          <w:sz w:val="24"/>
          <w:szCs w:val="32"/>
          <w:highlight w:val="none"/>
        </w:rPr>
        <w:t>3.</w:t>
      </w:r>
      <w:r>
        <w:rPr>
          <w:rFonts w:hint="eastAsia" w:ascii="Times New Roman" w:hAnsi="Times New Roman" w:eastAsia="黑体" w:cs="Times New Roman"/>
          <w:bCs/>
          <w:sz w:val="24"/>
          <w:szCs w:val="32"/>
          <w:highlight w:val="none"/>
        </w:rPr>
        <w:t>6</w:t>
      </w:r>
      <w:r>
        <w:rPr>
          <w:rFonts w:ascii="Times New Roman" w:hAnsi="Times New Roman" w:eastAsia="黑体" w:cs="Times New Roman"/>
          <w:bCs/>
          <w:sz w:val="24"/>
          <w:szCs w:val="32"/>
          <w:highlight w:val="none"/>
        </w:rPr>
        <w:t>响应文件的编制</w:t>
      </w:r>
      <w:bookmarkEnd w:id="48"/>
      <w:bookmarkEnd w:id="49"/>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3.</w:t>
      </w:r>
      <w:r>
        <w:rPr>
          <w:rFonts w:hint="eastAsia" w:ascii="Times New Roman" w:hAnsi="Times New Roman" w:eastAsia="宋体" w:cs="Times New Roman"/>
          <w:highlight w:val="none"/>
        </w:rPr>
        <w:t>6</w:t>
      </w:r>
      <w:r>
        <w:rPr>
          <w:rFonts w:ascii="Times New Roman" w:hAnsi="Times New Roman" w:eastAsia="宋体" w:cs="Times New Roman"/>
          <w:highlight w:val="none"/>
        </w:rPr>
        <w:t>.1响应文件应按第六章“响应文件格式”进行编写，如有必要，可以增加附页，作为响应文件的组成部分。</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3.</w:t>
      </w:r>
      <w:r>
        <w:rPr>
          <w:rFonts w:hint="eastAsia" w:ascii="Times New Roman" w:hAnsi="Times New Roman" w:eastAsia="宋体" w:cs="Times New Roman"/>
          <w:highlight w:val="none"/>
        </w:rPr>
        <w:t>6</w:t>
      </w:r>
      <w:r>
        <w:rPr>
          <w:rFonts w:ascii="Times New Roman" w:hAnsi="Times New Roman" w:eastAsia="宋体" w:cs="Times New Roman"/>
          <w:highlight w:val="none"/>
        </w:rPr>
        <w:t>.2 响应文件应当对询比文件有关</w:t>
      </w:r>
      <w:r>
        <w:rPr>
          <w:rFonts w:hint="eastAsia" w:ascii="Times New Roman" w:hAnsi="Times New Roman" w:eastAsia="宋体" w:cs="Times New Roman"/>
          <w:highlight w:val="none"/>
        </w:rPr>
        <w:t>交货</w:t>
      </w:r>
      <w:r>
        <w:rPr>
          <w:rFonts w:ascii="Times New Roman" w:hAnsi="Times New Roman" w:eastAsia="宋体" w:cs="Times New Roman"/>
          <w:highlight w:val="none"/>
        </w:rPr>
        <w:t>期、响应有效期、质量要求、技术标准和要求、</w:t>
      </w:r>
      <w:r>
        <w:rPr>
          <w:rFonts w:hint="eastAsia" w:ascii="Times New Roman" w:hAnsi="Times New Roman" w:eastAsia="宋体" w:cs="Times New Roman"/>
          <w:highlight w:val="none"/>
        </w:rPr>
        <w:t>采购范围</w:t>
      </w:r>
      <w:r>
        <w:rPr>
          <w:rFonts w:ascii="Times New Roman" w:hAnsi="Times New Roman" w:eastAsia="宋体" w:cs="Times New Roman"/>
          <w:highlight w:val="none"/>
        </w:rPr>
        <w:t>等实质性内容作出响应。</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3.</w:t>
      </w:r>
      <w:r>
        <w:rPr>
          <w:rFonts w:hint="eastAsia" w:ascii="Times New Roman" w:hAnsi="Times New Roman" w:eastAsia="宋体" w:cs="Times New Roman"/>
          <w:highlight w:val="none"/>
        </w:rPr>
        <w:t>6</w:t>
      </w:r>
      <w:r>
        <w:rPr>
          <w:rFonts w:ascii="Times New Roman" w:hAnsi="Times New Roman" w:eastAsia="宋体" w:cs="Times New Roman"/>
          <w:highlight w:val="none"/>
        </w:rPr>
        <w:t>.3响应文件的制作应满足以下规定：</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（1）</w:t>
      </w:r>
      <w:r>
        <w:rPr>
          <w:rFonts w:hint="eastAsia" w:ascii="Times New Roman" w:hAnsi="Times New Roman" w:eastAsia="宋体" w:cs="Times New Roman"/>
          <w:highlight w:val="none"/>
        </w:rPr>
        <w:t>响应</w:t>
      </w:r>
      <w:r>
        <w:rPr>
          <w:rFonts w:ascii="Times New Roman" w:hAnsi="Times New Roman" w:eastAsia="宋体" w:cs="Times New Roman"/>
          <w:highlight w:val="none"/>
        </w:rPr>
        <w:t>文件应用不褪色的材料书写或打印，并按第六章“</w:t>
      </w:r>
      <w:r>
        <w:rPr>
          <w:rFonts w:hint="eastAsia" w:ascii="Times New Roman" w:hAnsi="Times New Roman" w:eastAsia="宋体" w:cs="Times New Roman"/>
          <w:highlight w:val="none"/>
        </w:rPr>
        <w:t>响应文件</w:t>
      </w:r>
      <w:r>
        <w:rPr>
          <w:rFonts w:ascii="Times New Roman" w:hAnsi="Times New Roman" w:eastAsia="宋体" w:cs="Times New Roman"/>
          <w:highlight w:val="none"/>
        </w:rPr>
        <w:t>格式”的要求进行</w:t>
      </w:r>
      <w:r>
        <w:rPr>
          <w:rFonts w:hint="eastAsia" w:ascii="Times New Roman" w:hAnsi="Times New Roman" w:eastAsia="宋体" w:cs="Times New Roman"/>
          <w:highlight w:val="none"/>
        </w:rPr>
        <w:t>签名</w:t>
      </w:r>
      <w:r>
        <w:rPr>
          <w:rFonts w:ascii="Times New Roman" w:hAnsi="Times New Roman" w:eastAsia="宋体" w:cs="Times New Roman"/>
          <w:highlight w:val="none"/>
        </w:rPr>
        <w:t>和（或）盖章。</w:t>
      </w:r>
      <w:r>
        <w:rPr>
          <w:rFonts w:hint="eastAsia" w:ascii="Times New Roman" w:hAnsi="Times New Roman" w:eastAsia="宋体" w:cs="Times New Roman"/>
          <w:highlight w:val="none"/>
        </w:rPr>
        <w:t>响应</w:t>
      </w:r>
      <w:r>
        <w:rPr>
          <w:rFonts w:ascii="Times New Roman" w:hAnsi="Times New Roman" w:eastAsia="宋体" w:cs="Times New Roman"/>
          <w:highlight w:val="none"/>
        </w:rPr>
        <w:t>文件应尽量避免涂改、行间插字或删除。如果出现上述情况，改动之处应由</w:t>
      </w:r>
      <w:r>
        <w:rPr>
          <w:rFonts w:hint="eastAsia" w:ascii="Times New Roman" w:hAnsi="Times New Roman" w:eastAsia="宋体" w:cs="Times New Roman"/>
          <w:highlight w:val="none"/>
        </w:rPr>
        <w:t>供应商</w:t>
      </w:r>
      <w:r>
        <w:rPr>
          <w:rFonts w:ascii="Times New Roman" w:hAnsi="Times New Roman" w:eastAsia="宋体" w:cs="Times New Roman"/>
          <w:highlight w:val="none"/>
        </w:rPr>
        <w:t>的法定代表人或其授权的代理人</w:t>
      </w:r>
      <w:r>
        <w:rPr>
          <w:rFonts w:hint="eastAsia" w:ascii="Times New Roman" w:hAnsi="Times New Roman" w:eastAsia="宋体" w:cs="Times New Roman"/>
          <w:highlight w:val="none"/>
        </w:rPr>
        <w:t>签名</w:t>
      </w:r>
      <w:r>
        <w:rPr>
          <w:rFonts w:ascii="Times New Roman" w:hAnsi="Times New Roman" w:eastAsia="宋体" w:cs="Times New Roman"/>
          <w:highlight w:val="none"/>
        </w:rPr>
        <w:t>或盖单位章。</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（2）</w:t>
      </w:r>
      <w:r>
        <w:rPr>
          <w:rFonts w:hint="eastAsia" w:ascii="Times New Roman" w:hAnsi="Times New Roman" w:eastAsia="宋体" w:cs="Times New Roman"/>
          <w:highlight w:val="none"/>
        </w:rPr>
        <w:t>响应文件</w:t>
      </w:r>
      <w:r>
        <w:rPr>
          <w:rFonts w:ascii="Times New Roman" w:hAnsi="Times New Roman" w:eastAsia="宋体" w:cs="Times New Roman"/>
          <w:highlight w:val="none"/>
        </w:rPr>
        <w:t>正本一份，副本</w:t>
      </w:r>
      <w:r>
        <w:rPr>
          <w:rFonts w:hint="eastAsia" w:ascii="Times New Roman" w:hAnsi="Times New Roman" w:eastAsia="宋体" w:cs="Times New Roman"/>
          <w:highlight w:val="none"/>
        </w:rPr>
        <w:t>二</w:t>
      </w:r>
      <w:r>
        <w:rPr>
          <w:rFonts w:ascii="Times New Roman" w:hAnsi="Times New Roman" w:eastAsia="宋体" w:cs="Times New Roman"/>
          <w:highlight w:val="none"/>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（3）</w:t>
      </w:r>
      <w:r>
        <w:rPr>
          <w:rFonts w:hint="eastAsia" w:ascii="Times New Roman" w:hAnsi="Times New Roman" w:eastAsia="宋体" w:cs="Times New Roman"/>
          <w:highlight w:val="none"/>
        </w:rPr>
        <w:t>响应文件</w:t>
      </w:r>
      <w:r>
        <w:rPr>
          <w:rFonts w:ascii="Times New Roman" w:hAnsi="Times New Roman" w:eastAsia="宋体" w:cs="Times New Roman"/>
          <w:highlight w:val="none"/>
        </w:rPr>
        <w:t>的正本与副本</w:t>
      </w:r>
      <w:r>
        <w:rPr>
          <w:rFonts w:hint="eastAsia" w:ascii="Times New Roman" w:hAnsi="Times New Roman" w:eastAsia="宋体" w:cs="Times New Roman"/>
          <w:highlight w:val="none"/>
        </w:rPr>
        <w:t>需胶装密封</w:t>
      </w:r>
      <w:r>
        <w:rPr>
          <w:rFonts w:ascii="Times New Roman" w:hAnsi="Times New Roman" w:eastAsia="宋体" w:cs="Times New Roman"/>
          <w:highlight w:val="none"/>
        </w:rPr>
        <w:t>装订。</w:t>
      </w:r>
    </w:p>
    <w:p>
      <w:pPr>
        <w:spacing w:line="440" w:lineRule="exact"/>
        <w:ind w:firstLine="420"/>
        <w:rPr>
          <w:rFonts w:ascii="Times New Roman" w:hAnsi="Times New Roman" w:eastAsia="宋体" w:cs="Times New Roman"/>
          <w:highlight w:val="none"/>
        </w:rPr>
      </w:pPr>
      <w:r>
        <w:rPr>
          <w:rFonts w:hint="eastAsia" w:ascii="Times New Roman" w:hAnsi="Times New Roman" w:eastAsia="宋体" w:cs="Times New Roman"/>
          <w:highlight w:val="none"/>
        </w:rPr>
        <w:t>（4）响应文件需供应商</w:t>
      </w:r>
      <w:r>
        <w:rPr>
          <w:rFonts w:ascii="Times New Roman" w:hAnsi="Times New Roman" w:eastAsia="宋体" w:cs="Times New Roman"/>
          <w:highlight w:val="none"/>
        </w:rPr>
        <w:t>的法定代表人或其授权的代理人</w:t>
      </w:r>
      <w:r>
        <w:rPr>
          <w:rFonts w:hint="eastAsia" w:ascii="Times New Roman" w:hAnsi="Times New Roman" w:eastAsia="宋体" w:cs="Times New Roman"/>
          <w:highlight w:val="none"/>
        </w:rPr>
        <w:t>签名和</w:t>
      </w:r>
      <w:r>
        <w:rPr>
          <w:rFonts w:ascii="Times New Roman" w:hAnsi="Times New Roman" w:eastAsia="宋体" w:cs="Times New Roman"/>
          <w:highlight w:val="none"/>
        </w:rPr>
        <w:t>盖单位章</w:t>
      </w:r>
      <w:r>
        <w:rPr>
          <w:rFonts w:hint="eastAsia" w:ascii="Times New Roman" w:hAnsi="Times New Roman" w:eastAsia="宋体" w:cs="Times New Roman"/>
          <w:highlight w:val="none"/>
        </w:rPr>
        <w:t>。</w:t>
      </w:r>
    </w:p>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4. 响应文件的递交</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4.1响应文件的密封和标记</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4.1.1响应文件</w:t>
      </w:r>
      <w:r>
        <w:rPr>
          <w:rFonts w:hint="eastAsia" w:ascii="Times New Roman" w:hAnsi="Times New Roman" w:cs="Times New Roman"/>
          <w:highlight w:val="none"/>
        </w:rPr>
        <w:t>正、副本</w:t>
      </w:r>
      <w:r>
        <w:rPr>
          <w:rFonts w:ascii="Times New Roman" w:hAnsi="Times New Roman" w:cs="Times New Roman"/>
          <w:highlight w:val="none"/>
        </w:rPr>
        <w:t>应密封包装</w:t>
      </w:r>
      <w:r>
        <w:rPr>
          <w:rFonts w:hint="eastAsia" w:ascii="Times New Roman" w:hAnsi="Times New Roman" w:cs="Times New Roman"/>
          <w:highlight w:val="none"/>
        </w:rPr>
        <w:t>在一个封套内，封套上注明：</w:t>
      </w:r>
    </w:p>
    <w:p>
      <w:pPr>
        <w:spacing w:line="440" w:lineRule="exact"/>
        <w:ind w:firstLine="420"/>
        <w:rPr>
          <w:rFonts w:ascii="宋体" w:hAnsi="宋体" w:eastAsia="宋体" w:cs="宋体"/>
          <w:bCs/>
          <w:snapToGrid w:val="0"/>
          <w:kern w:val="0"/>
          <w:szCs w:val="21"/>
          <w:highlight w:val="none"/>
        </w:rPr>
      </w:pPr>
      <w:r>
        <w:rPr>
          <w:rFonts w:hint="eastAsia" w:ascii="宋体" w:hAnsi="宋体" w:eastAsia="宋体" w:cs="宋体"/>
          <w:bCs/>
          <w:snapToGrid w:val="0"/>
          <w:kern w:val="0"/>
          <w:szCs w:val="21"/>
          <w:highlight w:val="none"/>
        </w:rPr>
        <w:t>供应商名称：</w:t>
      </w:r>
    </w:p>
    <w:p>
      <w:pPr>
        <w:spacing w:line="440" w:lineRule="exact"/>
        <w:ind w:firstLine="420"/>
        <w:rPr>
          <w:rFonts w:ascii="宋体" w:hAnsi="宋体" w:eastAsia="宋体" w:cs="宋体"/>
          <w:bCs/>
          <w:snapToGrid w:val="0"/>
          <w:kern w:val="0"/>
          <w:szCs w:val="21"/>
          <w:highlight w:val="none"/>
        </w:rPr>
      </w:pPr>
      <w:r>
        <w:rPr>
          <w:rFonts w:hint="eastAsia" w:ascii="宋体" w:hAnsi="宋体" w:eastAsia="宋体" w:cs="宋体"/>
          <w:bCs/>
          <w:snapToGrid w:val="0"/>
          <w:kern w:val="0"/>
          <w:szCs w:val="21"/>
          <w:highlight w:val="none"/>
          <w:u w:val="single"/>
        </w:rPr>
        <w:t xml:space="preserve">            (项目</w:t>
      </w:r>
      <w:r>
        <w:rPr>
          <w:rFonts w:hint="eastAsia" w:ascii="宋体" w:hAnsi="宋体" w:eastAsia="宋体" w:cs="宋体"/>
          <w:highlight w:val="none"/>
          <w:u w:val="single"/>
        </w:rPr>
        <w:t>名称</w:t>
      </w:r>
      <w:r>
        <w:rPr>
          <w:rFonts w:hint="eastAsia" w:ascii="宋体" w:hAnsi="宋体" w:eastAsia="宋体" w:cs="宋体"/>
          <w:bCs/>
          <w:snapToGrid w:val="0"/>
          <w:kern w:val="0"/>
          <w:szCs w:val="21"/>
          <w:highlight w:val="none"/>
          <w:u w:val="single"/>
        </w:rPr>
        <w:t>)   第</w:t>
      </w:r>
      <w:r>
        <w:rPr>
          <w:rFonts w:hint="eastAsia" w:ascii="宋体" w:hAnsi="宋体" w:eastAsia="宋体" w:cs="宋体"/>
          <w:bCs/>
          <w:snapToGrid w:val="0"/>
          <w:kern w:val="0"/>
          <w:szCs w:val="21"/>
          <w:highlight w:val="none"/>
        </w:rPr>
        <w:t>合同包响应文件</w:t>
      </w:r>
    </w:p>
    <w:p>
      <w:pPr>
        <w:spacing w:line="440" w:lineRule="exact"/>
        <w:ind w:firstLine="420"/>
        <w:rPr>
          <w:rFonts w:ascii="宋体" w:hAnsi="宋体" w:eastAsia="宋体" w:cs="宋体"/>
          <w:highlight w:val="none"/>
        </w:rPr>
      </w:pPr>
      <w:r>
        <w:rPr>
          <w:rFonts w:hint="eastAsia" w:ascii="宋体" w:hAnsi="宋体" w:eastAsia="宋体" w:cs="宋体"/>
          <w:bCs/>
          <w:snapToGrid w:val="0"/>
          <w:kern w:val="0"/>
          <w:szCs w:val="21"/>
          <w:highlight w:val="none"/>
        </w:rPr>
        <w:t>在年月日时分（递交响应文件的截止时间）前不得开启</w:t>
      </w:r>
    </w:p>
    <w:p>
      <w:pPr>
        <w:spacing w:line="440" w:lineRule="exact"/>
        <w:ind w:firstLine="420"/>
        <w:rPr>
          <w:rFonts w:ascii="Times New Roman" w:hAnsi="Times New Roman" w:cs="Times New Roman"/>
          <w:highlight w:val="none"/>
        </w:rPr>
      </w:pPr>
      <w:r>
        <w:rPr>
          <w:rFonts w:hint="eastAsia" w:ascii="宋体" w:hAnsi="宋体" w:eastAsia="宋体" w:cs="宋体"/>
          <w:highlight w:val="none"/>
        </w:rPr>
        <w:t>4.1.2未按本章第4.1.1项要求密封的响应文件，采购人将予以</w:t>
      </w:r>
      <w:r>
        <w:rPr>
          <w:rFonts w:ascii="Times New Roman" w:hAnsi="Times New Roman"/>
          <w:highlight w:val="none"/>
        </w:rPr>
        <w:t>拒收。</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4.2 响应文件的递交</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4.2.1供应商应当</w:t>
      </w:r>
      <w:r>
        <w:rPr>
          <w:rFonts w:hint="eastAsia" w:ascii="Times New Roman" w:hAnsi="Times New Roman" w:cs="Times New Roman"/>
          <w:highlight w:val="none"/>
        </w:rPr>
        <w:t>按照第一章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szCs w:val="21"/>
          <w:highlight w:val="none"/>
        </w:rPr>
        <w:t>第5条的规定递交响应文件</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4.2.</w:t>
      </w:r>
      <w:r>
        <w:rPr>
          <w:rFonts w:hint="eastAsia" w:ascii="Times New Roman" w:hAnsi="Times New Roman" w:cs="Times New Roman"/>
          <w:highlight w:val="none"/>
        </w:rPr>
        <w:t>2递交响应文件的供应商数量不足3家时，采购人将宣布本次采购失败，并退还已递交的响应文件。</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4.2.3 除第4.2.2项规定外，</w:t>
      </w:r>
      <w:r>
        <w:rPr>
          <w:rFonts w:ascii="Times New Roman" w:hAnsi="Times New Roman" w:cs="Times New Roman"/>
          <w:highlight w:val="none"/>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5. 启封</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5.1 启封时间和地点</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采购人在本章第4.2.1项规定的响应文件递交截止时间（启封时间），</w:t>
      </w:r>
      <w:r>
        <w:rPr>
          <w:rFonts w:hint="eastAsia" w:ascii="Times New Roman" w:hAnsi="Times New Roman" w:cs="Times New Roman"/>
          <w:highlight w:val="none"/>
        </w:rPr>
        <w:t>按照第一章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szCs w:val="21"/>
          <w:highlight w:val="none"/>
        </w:rPr>
        <w:t>/</w:t>
      </w:r>
      <w:r>
        <w:rPr>
          <w:rFonts w:hint="eastAsia" w:ascii="Times New Roman" w:hAnsi="Times New Roman" w:cs="Times New Roman"/>
          <w:szCs w:val="21"/>
          <w:highlight w:val="none"/>
        </w:rPr>
        <w:t>采购邀请书</w:t>
      </w:r>
      <w:r>
        <w:rPr>
          <w:rFonts w:ascii="Times New Roman" w:hAnsi="Times New Roman" w:cs="Times New Roman"/>
          <w:highlight w:val="none"/>
        </w:rPr>
        <w:t>”</w:t>
      </w:r>
      <w:r>
        <w:rPr>
          <w:rFonts w:hint="eastAsia" w:ascii="Times New Roman" w:hAnsi="Times New Roman" w:cs="Times New Roman"/>
          <w:szCs w:val="21"/>
          <w:highlight w:val="none"/>
        </w:rPr>
        <w:t>第6条的规定进行启封</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5.2</w:t>
      </w:r>
      <w:r>
        <w:rPr>
          <w:rFonts w:hint="eastAsia" w:ascii="Times New Roman" w:hAnsi="Times New Roman" w:eastAsia="黑体" w:cs="Times New Roman"/>
          <w:bCs/>
          <w:sz w:val="24"/>
          <w:szCs w:val="32"/>
          <w:highlight w:val="none"/>
        </w:rPr>
        <w:t>启封</w:t>
      </w:r>
      <w:r>
        <w:rPr>
          <w:rFonts w:ascii="Times New Roman" w:hAnsi="Times New Roman" w:eastAsia="黑体" w:cs="Times New Roman"/>
          <w:bCs/>
          <w:sz w:val="24"/>
          <w:szCs w:val="32"/>
          <w:highlight w:val="none"/>
        </w:rPr>
        <w:t>程序</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5.2.1主持人按下列程序进行启封：</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（1）公布在响应文件递交截止时间</w:t>
      </w:r>
      <w:r>
        <w:rPr>
          <w:rFonts w:hint="eastAsia" w:ascii="Times New Roman" w:hAnsi="Times New Roman" w:cs="Times New Roman"/>
          <w:highlight w:val="none"/>
        </w:rPr>
        <w:t>前</w:t>
      </w:r>
      <w:r>
        <w:rPr>
          <w:rFonts w:ascii="Times New Roman" w:hAnsi="Times New Roman" w:cs="Times New Roman"/>
          <w:highlight w:val="none"/>
        </w:rPr>
        <w:t>递交响应文件的供应商名称；</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（2）由供应商推选的代表检查响应文件的密封情况；</w:t>
      </w:r>
    </w:p>
    <w:p>
      <w:pPr>
        <w:spacing w:line="440" w:lineRule="exact"/>
        <w:ind w:firstLine="420"/>
        <w:rPr>
          <w:rFonts w:ascii="Times New Roman" w:hAnsi="Times New Roman" w:cs="Times New Roman"/>
          <w:bCs/>
          <w:highlight w:val="none"/>
        </w:rPr>
      </w:pPr>
      <w:r>
        <w:rPr>
          <w:rFonts w:ascii="Times New Roman" w:hAnsi="Times New Roman" w:cs="Times New Roman"/>
          <w:highlight w:val="none"/>
        </w:rPr>
        <w:t>（3）</w:t>
      </w:r>
      <w:r>
        <w:rPr>
          <w:rFonts w:ascii="Times New Roman" w:hAnsi="Times New Roman" w:cs="Times New Roman"/>
          <w:bCs/>
          <w:highlight w:val="none"/>
        </w:rPr>
        <w:t>对响应文件进行启封，公布供应商名称、合同包名称、报价、质量目标、</w:t>
      </w:r>
      <w:r>
        <w:rPr>
          <w:rFonts w:hint="eastAsia" w:ascii="Times New Roman" w:hAnsi="Times New Roman" w:cs="Times New Roman"/>
          <w:bCs/>
          <w:highlight w:val="none"/>
        </w:rPr>
        <w:t>交货</w:t>
      </w:r>
      <w:r>
        <w:rPr>
          <w:rFonts w:ascii="Times New Roman" w:hAnsi="Times New Roman" w:cs="Times New Roman"/>
          <w:bCs/>
          <w:highlight w:val="none"/>
        </w:rPr>
        <w:t>期、响应保证金递交情况及其他内容；</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w:t>
      </w:r>
      <w:r>
        <w:rPr>
          <w:rFonts w:hint="eastAsia" w:ascii="Times New Roman" w:hAnsi="Times New Roman" w:cs="Times New Roman"/>
          <w:highlight w:val="none"/>
        </w:rPr>
        <w:t>4</w:t>
      </w:r>
      <w:r>
        <w:rPr>
          <w:rFonts w:ascii="Times New Roman" w:hAnsi="Times New Roman" w:cs="Times New Roman"/>
          <w:highlight w:val="none"/>
        </w:rPr>
        <w:t>）</w:t>
      </w:r>
      <w:r>
        <w:rPr>
          <w:rFonts w:hint="eastAsia" w:ascii="Times New Roman" w:hAnsi="Times New Roman" w:cs="Times New Roman"/>
          <w:highlight w:val="none"/>
        </w:rPr>
        <w:t>供应商</w:t>
      </w:r>
      <w:r>
        <w:rPr>
          <w:rFonts w:ascii="Times New Roman" w:hAnsi="Times New Roman" w:cs="Times New Roman"/>
          <w:highlight w:val="none"/>
        </w:rPr>
        <w:t>代表、</w:t>
      </w:r>
      <w:r>
        <w:rPr>
          <w:rFonts w:hint="eastAsia" w:ascii="Times New Roman" w:hAnsi="Times New Roman" w:cs="Times New Roman"/>
          <w:highlight w:val="none"/>
        </w:rPr>
        <w:t>采购</w:t>
      </w:r>
      <w:r>
        <w:rPr>
          <w:rFonts w:ascii="Times New Roman" w:hAnsi="Times New Roman" w:cs="Times New Roman"/>
          <w:highlight w:val="none"/>
        </w:rPr>
        <w:t>人代表、记录人等有关人员在</w:t>
      </w:r>
      <w:r>
        <w:rPr>
          <w:rFonts w:hint="eastAsia" w:ascii="Times New Roman" w:hAnsi="Times New Roman" w:cs="Times New Roman"/>
          <w:highlight w:val="none"/>
        </w:rPr>
        <w:t>文件签到表签名</w:t>
      </w:r>
      <w:r>
        <w:rPr>
          <w:rFonts w:ascii="Times New Roman" w:hAnsi="Times New Roman" w:cs="Times New Roman"/>
          <w:highlight w:val="none"/>
        </w:rPr>
        <w:t>确认；</w:t>
      </w:r>
    </w:p>
    <w:p>
      <w:pPr>
        <w:spacing w:line="440" w:lineRule="exact"/>
        <w:ind w:firstLine="420"/>
        <w:rPr>
          <w:rFonts w:ascii="Times New Roman" w:hAnsi="Times New Roman" w:cs="Times New Roman"/>
          <w:bCs/>
          <w:highlight w:val="none"/>
        </w:rPr>
      </w:pPr>
      <w:r>
        <w:rPr>
          <w:rFonts w:ascii="Times New Roman" w:hAnsi="Times New Roman" w:cs="Times New Roman"/>
          <w:bCs/>
          <w:highlight w:val="none"/>
        </w:rPr>
        <w:t>（</w:t>
      </w:r>
      <w:r>
        <w:rPr>
          <w:rFonts w:hint="eastAsia" w:ascii="Times New Roman" w:hAnsi="Times New Roman" w:cs="Times New Roman"/>
          <w:bCs/>
          <w:highlight w:val="none"/>
        </w:rPr>
        <w:t>5</w:t>
      </w:r>
      <w:r>
        <w:rPr>
          <w:rFonts w:ascii="Times New Roman" w:hAnsi="Times New Roman" w:cs="Times New Roman"/>
          <w:bCs/>
          <w:highlight w:val="none"/>
        </w:rPr>
        <w:t>）</w:t>
      </w:r>
      <w:r>
        <w:rPr>
          <w:rFonts w:hint="eastAsia" w:ascii="Times New Roman" w:hAnsi="Times New Roman" w:cs="Times New Roman"/>
          <w:bCs/>
          <w:highlight w:val="none"/>
        </w:rPr>
        <w:t>启封</w:t>
      </w:r>
      <w:r>
        <w:rPr>
          <w:rFonts w:ascii="Times New Roman" w:hAnsi="Times New Roman" w:cs="Times New Roman"/>
          <w:highlight w:val="none"/>
        </w:rPr>
        <w:t>结束</w:t>
      </w:r>
      <w:r>
        <w:rPr>
          <w:rFonts w:ascii="Times New Roman" w:hAnsi="Times New Roman" w:cs="Times New Roman"/>
          <w:bCs/>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bCs/>
          <w:highlight w:val="none"/>
        </w:rPr>
        <w:t>5.2.2</w:t>
      </w:r>
      <w:r>
        <w:rPr>
          <w:rFonts w:ascii="Times New Roman" w:hAnsi="Times New Roman" w:cs="Times New Roman"/>
          <w:highlight w:val="none"/>
        </w:rPr>
        <w:t>供应商</w:t>
      </w:r>
      <w:r>
        <w:rPr>
          <w:rFonts w:hint="eastAsia" w:ascii="Times New Roman" w:hAnsi="Times New Roman" w:cs="Times New Roman"/>
          <w:highlight w:val="none"/>
        </w:rPr>
        <w:t>在</w:t>
      </w:r>
      <w:r>
        <w:rPr>
          <w:rFonts w:ascii="Times New Roman" w:hAnsi="Times New Roman" w:cs="Times New Roman"/>
          <w:highlight w:val="none"/>
        </w:rPr>
        <w:t>启封过程</w:t>
      </w:r>
      <w:r>
        <w:rPr>
          <w:rFonts w:hint="eastAsia" w:ascii="Times New Roman" w:hAnsi="Times New Roman" w:cs="Times New Roman"/>
          <w:highlight w:val="none"/>
        </w:rPr>
        <w:t>中</w:t>
      </w:r>
      <w:r>
        <w:rPr>
          <w:rFonts w:ascii="Times New Roman" w:hAnsi="Times New Roman" w:cs="Times New Roman"/>
          <w:highlight w:val="none"/>
        </w:rPr>
        <w:t>有</w:t>
      </w:r>
      <w:r>
        <w:rPr>
          <w:rFonts w:hint="eastAsia" w:ascii="Times New Roman" w:hAnsi="Times New Roman" w:cs="Times New Roman"/>
          <w:highlight w:val="none"/>
        </w:rPr>
        <w:t>疑问</w:t>
      </w:r>
      <w:r>
        <w:rPr>
          <w:rFonts w:ascii="Times New Roman" w:hAnsi="Times New Roman" w:cs="Times New Roman"/>
          <w:highlight w:val="none"/>
        </w:rPr>
        <w:t>的，应当在</w:t>
      </w:r>
      <w:r>
        <w:rPr>
          <w:rFonts w:hint="eastAsia" w:ascii="Times New Roman" w:hAnsi="Times New Roman" w:cs="Times New Roman"/>
          <w:highlight w:val="none"/>
        </w:rPr>
        <w:t>现场</w:t>
      </w:r>
      <w:r>
        <w:rPr>
          <w:rFonts w:ascii="Times New Roman" w:hAnsi="Times New Roman" w:cs="Times New Roman"/>
          <w:highlight w:val="none"/>
        </w:rPr>
        <w:t>提出</w:t>
      </w:r>
      <w:r>
        <w:rPr>
          <w:rFonts w:hint="eastAsia" w:ascii="Times New Roman" w:hAnsi="Times New Roman" w:cs="Times New Roman"/>
          <w:highlight w:val="none"/>
        </w:rPr>
        <w:t>，</w:t>
      </w:r>
      <w:r>
        <w:rPr>
          <w:rFonts w:ascii="Times New Roman" w:hAnsi="Times New Roman" w:cs="Times New Roman"/>
          <w:highlight w:val="none"/>
        </w:rPr>
        <w:t>采购人</w:t>
      </w:r>
      <w:r>
        <w:rPr>
          <w:rFonts w:hint="eastAsia" w:ascii="Times New Roman" w:hAnsi="Times New Roman" w:cs="Times New Roman"/>
          <w:highlight w:val="none"/>
        </w:rPr>
        <w:t>将</w:t>
      </w:r>
      <w:r>
        <w:rPr>
          <w:rFonts w:ascii="Times New Roman" w:hAnsi="Times New Roman" w:cs="Times New Roman"/>
          <w:highlight w:val="none"/>
        </w:rPr>
        <w:t>当场作出答复。</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50" w:name="_Toc14201241"/>
      <w:bookmarkStart w:id="51" w:name="_Toc9067725"/>
      <w:bookmarkStart w:id="52" w:name="_Toc26656972"/>
      <w:r>
        <w:rPr>
          <w:rFonts w:ascii="Times New Roman" w:hAnsi="Times New Roman" w:eastAsia="黑体" w:cs="Times New Roman"/>
          <w:bCs/>
          <w:sz w:val="24"/>
          <w:szCs w:val="32"/>
          <w:highlight w:val="none"/>
        </w:rPr>
        <w:t>6. 评</w:t>
      </w:r>
      <w:bookmarkEnd w:id="50"/>
      <w:bookmarkEnd w:id="51"/>
      <w:bookmarkEnd w:id="52"/>
      <w:r>
        <w:rPr>
          <w:rFonts w:ascii="Times New Roman" w:hAnsi="Times New Roman" w:eastAsia="黑体" w:cs="Times New Roman"/>
          <w:bCs/>
          <w:sz w:val="24"/>
          <w:szCs w:val="32"/>
          <w:highlight w:val="none"/>
        </w:rPr>
        <w:t>审</w:t>
      </w:r>
    </w:p>
    <w:p>
      <w:pPr>
        <w:keepNext/>
        <w:keepLines/>
        <w:spacing w:before="120" w:after="120"/>
        <w:outlineLvl w:val="2"/>
        <w:rPr>
          <w:rFonts w:ascii="Times New Roman" w:hAnsi="Times New Roman" w:eastAsia="黑体" w:cs="Times New Roman"/>
          <w:bCs/>
          <w:sz w:val="24"/>
          <w:szCs w:val="32"/>
          <w:highlight w:val="none"/>
        </w:rPr>
      </w:pPr>
      <w:bookmarkStart w:id="53" w:name="_Toc26656973"/>
      <w:bookmarkStart w:id="54" w:name="_Toc14201242"/>
      <w:r>
        <w:rPr>
          <w:rFonts w:ascii="Times New Roman" w:hAnsi="Times New Roman" w:eastAsia="黑体" w:cs="Times New Roman"/>
          <w:bCs/>
          <w:sz w:val="24"/>
          <w:szCs w:val="32"/>
          <w:highlight w:val="none"/>
        </w:rPr>
        <w:t>6.1</w:t>
      </w:r>
      <w:bookmarkEnd w:id="53"/>
      <w:bookmarkEnd w:id="54"/>
      <w:r>
        <w:rPr>
          <w:rFonts w:hint="eastAsia" w:ascii="Times New Roman" w:hAnsi="Times New Roman" w:eastAsia="黑体" w:cs="Times New Roman"/>
          <w:bCs/>
          <w:sz w:val="24"/>
          <w:szCs w:val="32"/>
          <w:highlight w:val="none"/>
        </w:rPr>
        <w:t>评审小组</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评审由采购人</w:t>
      </w:r>
      <w:r>
        <w:rPr>
          <w:rFonts w:hint="eastAsia" w:ascii="Times New Roman" w:hAnsi="Times New Roman" w:cs="Times New Roman"/>
          <w:highlight w:val="none"/>
        </w:rPr>
        <w:t>自行</w:t>
      </w:r>
      <w:r>
        <w:rPr>
          <w:rFonts w:ascii="Times New Roman" w:hAnsi="Times New Roman" w:cs="Times New Roman"/>
          <w:highlight w:val="none"/>
        </w:rPr>
        <w:t>组建的</w:t>
      </w:r>
      <w:r>
        <w:rPr>
          <w:rFonts w:hint="eastAsia" w:ascii="Times New Roman" w:hAnsi="Times New Roman" w:cs="Times New Roman"/>
          <w:highlight w:val="none"/>
        </w:rPr>
        <w:t>评审小组</w:t>
      </w:r>
      <w:r>
        <w:rPr>
          <w:rFonts w:ascii="Times New Roman" w:hAnsi="Times New Roman" w:cs="Times New Roman"/>
          <w:highlight w:val="none"/>
        </w:rPr>
        <w:t>负责。</w:t>
      </w:r>
      <w:r>
        <w:rPr>
          <w:rFonts w:hint="eastAsia" w:ascii="Times New Roman" w:hAnsi="Times New Roman" w:cs="Times New Roman"/>
          <w:highlight w:val="none"/>
        </w:rPr>
        <w:t>评审小组人数：3-7人（单数）</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55" w:name="_Toc14201244"/>
      <w:bookmarkStart w:id="56" w:name="_Toc26656975"/>
      <w:r>
        <w:rPr>
          <w:rFonts w:ascii="Times New Roman" w:hAnsi="Times New Roman" w:eastAsia="黑体" w:cs="Times New Roman"/>
          <w:bCs/>
          <w:sz w:val="24"/>
          <w:szCs w:val="32"/>
          <w:highlight w:val="none"/>
        </w:rPr>
        <w:t>6.</w:t>
      </w:r>
      <w:r>
        <w:rPr>
          <w:rFonts w:hint="eastAsia" w:ascii="Times New Roman" w:hAnsi="Times New Roman" w:eastAsia="黑体" w:cs="Times New Roman"/>
          <w:bCs/>
          <w:sz w:val="24"/>
          <w:szCs w:val="32"/>
          <w:highlight w:val="none"/>
        </w:rPr>
        <w:t>2</w:t>
      </w:r>
      <w:r>
        <w:rPr>
          <w:rFonts w:ascii="Times New Roman" w:hAnsi="Times New Roman" w:eastAsia="黑体" w:cs="Times New Roman"/>
          <w:bCs/>
          <w:sz w:val="24"/>
          <w:szCs w:val="32"/>
          <w:highlight w:val="none"/>
        </w:rPr>
        <w:t>评</w:t>
      </w:r>
      <w:bookmarkEnd w:id="55"/>
      <w:bookmarkEnd w:id="56"/>
      <w:r>
        <w:rPr>
          <w:rFonts w:ascii="Times New Roman" w:hAnsi="Times New Roman" w:eastAsia="黑体" w:cs="Times New Roman"/>
          <w:bCs/>
          <w:sz w:val="24"/>
          <w:szCs w:val="32"/>
          <w:highlight w:val="none"/>
        </w:rPr>
        <w:t>审</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cs="Times New Roman"/>
          <w:highlight w:val="none"/>
        </w:rPr>
        <w:t>2</w:t>
      </w:r>
      <w:r>
        <w:rPr>
          <w:rFonts w:ascii="Times New Roman" w:hAnsi="Times New Roman" w:cs="Times New Roman"/>
          <w:highlight w:val="none"/>
        </w:rPr>
        <w:t>.1</w:t>
      </w:r>
      <w:r>
        <w:rPr>
          <w:rFonts w:hint="eastAsia" w:ascii="Times New Roman" w:hAnsi="Times New Roman" w:cs="Times New Roman"/>
          <w:highlight w:val="none"/>
        </w:rPr>
        <w:t>评审小组</w:t>
      </w:r>
      <w:r>
        <w:rPr>
          <w:rFonts w:ascii="Times New Roman" w:hAnsi="Times New Roman" w:cs="Times New Roman"/>
          <w:highlight w:val="none"/>
        </w:rPr>
        <w:t>按照第三章“评审办法”规定的方法、评审因素、标准和程序对响应文件进行评审。</w:t>
      </w:r>
    </w:p>
    <w:p>
      <w:pPr>
        <w:spacing w:line="440" w:lineRule="exact"/>
        <w:ind w:firstLine="420"/>
        <w:rPr>
          <w:rFonts w:ascii="Times New Roman" w:hAnsi="Times New Roman" w:cs="Times New Roman"/>
          <w:color w:val="FF0000"/>
          <w:highlight w:val="none"/>
        </w:rPr>
      </w:pPr>
      <w:r>
        <w:rPr>
          <w:rFonts w:ascii="Times New Roman" w:hAnsi="Times New Roman" w:cs="Times New Roman"/>
          <w:highlight w:val="none"/>
        </w:rPr>
        <w:t>6.</w:t>
      </w:r>
      <w:r>
        <w:rPr>
          <w:rFonts w:hint="eastAsia" w:ascii="Times New Roman" w:hAnsi="Times New Roman" w:cs="Times New Roman"/>
          <w:highlight w:val="none"/>
        </w:rPr>
        <w:t>2</w:t>
      </w:r>
      <w:r>
        <w:rPr>
          <w:rFonts w:ascii="Times New Roman" w:hAnsi="Times New Roman" w:cs="Times New Roman"/>
          <w:highlight w:val="none"/>
        </w:rPr>
        <w:t>.2评审完成后，</w:t>
      </w:r>
      <w:r>
        <w:rPr>
          <w:rFonts w:hint="eastAsia" w:ascii="Times New Roman" w:hAnsi="Times New Roman" w:cs="Times New Roman"/>
          <w:highlight w:val="none"/>
        </w:rPr>
        <w:t>评审小组</w:t>
      </w:r>
      <w:r>
        <w:rPr>
          <w:rFonts w:ascii="Times New Roman" w:hAnsi="Times New Roman" w:cs="Times New Roman"/>
          <w:highlight w:val="none"/>
        </w:rPr>
        <w:t>应向采购人提交书面评审报告和成交候选人名单。</w:t>
      </w:r>
      <w:r>
        <w:rPr>
          <w:rFonts w:hint="eastAsia" w:ascii="Times New Roman" w:hAnsi="Times New Roman" w:cs="Times New Roman"/>
          <w:highlight w:val="none"/>
        </w:rPr>
        <w:t>评审小组</w:t>
      </w:r>
      <w:r>
        <w:rPr>
          <w:rFonts w:ascii="Times New Roman" w:hAnsi="Times New Roman" w:cs="Times New Roman"/>
          <w:highlight w:val="none"/>
        </w:rPr>
        <w:t>推荐成交候选人的人数</w:t>
      </w:r>
      <w:r>
        <w:rPr>
          <w:rFonts w:hint="eastAsia" w:ascii="Times New Roman" w:hAnsi="Times New Roman" w:cs="Times New Roman"/>
          <w:highlight w:val="none"/>
        </w:rPr>
        <w:t>为：3人（如不足3人，可以按实际数量推荐）。</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57" w:name="_Toc14201245"/>
      <w:bookmarkStart w:id="58" w:name="_Toc9067726"/>
      <w:bookmarkStart w:id="59" w:name="_Toc26656976"/>
      <w:r>
        <w:rPr>
          <w:rFonts w:ascii="Times New Roman" w:hAnsi="Times New Roman" w:eastAsia="黑体" w:cs="Times New Roman"/>
          <w:bCs/>
          <w:sz w:val="24"/>
          <w:szCs w:val="32"/>
          <w:highlight w:val="none"/>
        </w:rPr>
        <w:t>7. 合同授予</w:t>
      </w:r>
      <w:bookmarkEnd w:id="57"/>
      <w:bookmarkEnd w:id="58"/>
      <w:bookmarkEnd w:id="59"/>
    </w:p>
    <w:p>
      <w:pPr>
        <w:keepNext/>
        <w:keepLines/>
        <w:spacing w:before="120" w:after="120"/>
        <w:outlineLvl w:val="2"/>
        <w:rPr>
          <w:rFonts w:ascii="Times New Roman" w:hAnsi="Times New Roman" w:eastAsia="黑体" w:cs="Times New Roman"/>
          <w:bCs/>
          <w:sz w:val="24"/>
          <w:szCs w:val="32"/>
          <w:highlight w:val="none"/>
        </w:rPr>
      </w:pPr>
      <w:bookmarkStart w:id="60" w:name="_Toc26656977"/>
      <w:bookmarkStart w:id="61" w:name="_Toc14201246"/>
      <w:r>
        <w:rPr>
          <w:rFonts w:ascii="Times New Roman" w:hAnsi="Times New Roman" w:eastAsia="黑体" w:cs="Times New Roman"/>
          <w:bCs/>
          <w:sz w:val="24"/>
          <w:szCs w:val="32"/>
          <w:highlight w:val="none"/>
        </w:rPr>
        <w:t>7.1成交候选人公示</w:t>
      </w:r>
      <w:bookmarkEnd w:id="60"/>
      <w:bookmarkEnd w:id="61"/>
    </w:p>
    <w:p>
      <w:pPr>
        <w:keepNext/>
        <w:keepLines/>
        <w:spacing w:before="120" w:after="120"/>
        <w:ind w:firstLine="420" w:firstLineChars="200"/>
        <w:outlineLvl w:val="2"/>
        <w:rPr>
          <w:rFonts w:hint="default" w:ascii="Times New Roman" w:hAnsi="Times New Roman" w:cs="Times New Roman" w:eastAsiaTheme="minorEastAsia"/>
          <w:highlight w:val="none"/>
          <w:lang w:val="en-US" w:eastAsia="zh-CN"/>
        </w:rPr>
      </w:pPr>
      <w:bookmarkStart w:id="62" w:name="_Toc26656978"/>
      <w:bookmarkStart w:id="63" w:name="_Toc14201247"/>
      <w:r>
        <w:rPr>
          <w:rFonts w:hint="eastAsia" w:ascii="Times New Roman" w:hAnsi="Times New Roman" w:cs="Times New Roman"/>
          <w:highlight w:val="none"/>
          <w:lang w:val="en-US" w:eastAsia="zh-CN"/>
        </w:rPr>
        <w:t>采购</w:t>
      </w:r>
      <w:r>
        <w:rPr>
          <w:rFonts w:hint="eastAsia" w:ascii="Times New Roman" w:hAnsi="Times New Roman" w:cs="Times New Roman"/>
          <w:highlight w:val="none"/>
        </w:rPr>
        <w:t>人在</w:t>
      </w:r>
      <w:r>
        <w:rPr>
          <w:rFonts w:hint="eastAsia" w:ascii="Times New Roman" w:hAnsi="Times New Roman" w:cs="Times New Roman"/>
          <w:highlight w:val="none"/>
          <w:lang w:val="en-US" w:eastAsia="zh-CN"/>
        </w:rPr>
        <w:t>完成评审</w:t>
      </w:r>
      <w:r>
        <w:rPr>
          <w:rFonts w:hint="eastAsia" w:ascii="Times New Roman" w:hAnsi="Times New Roman" w:cs="Times New Roman"/>
          <w:highlight w:val="none"/>
        </w:rPr>
        <w:t>报告之日起3日内</w:t>
      </w:r>
      <w:r>
        <w:rPr>
          <w:rFonts w:hint="eastAsia" w:ascii="Times New Roman" w:hAnsi="Times New Roman" w:cs="Times New Roman"/>
          <w:highlight w:val="none"/>
          <w:lang w:eastAsia="zh-CN"/>
        </w:rPr>
        <w:t>，</w:t>
      </w:r>
      <w:r>
        <w:rPr>
          <w:rFonts w:hint="eastAsia" w:ascii="Times New Roman" w:hAnsi="Times New Roman" w:cs="Times New Roman"/>
          <w:highlight w:val="none"/>
          <w:lang w:val="en-US" w:eastAsia="zh-CN"/>
        </w:rPr>
        <w:t>在安徽交运集团网站（http://www.ahjyjt.com.cn/）公示成交候选人。</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7.2评审结果异议</w:t>
      </w:r>
      <w:bookmarkEnd w:id="62"/>
      <w:bookmarkEnd w:id="63"/>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highlight w:val="none"/>
        </w:rPr>
      </w:pPr>
      <w:bookmarkStart w:id="64" w:name="_Toc14201248"/>
      <w:bookmarkStart w:id="65" w:name="_Toc26656979"/>
      <w:r>
        <w:rPr>
          <w:rFonts w:ascii="Times New Roman" w:hAnsi="Times New Roman" w:eastAsia="黑体" w:cs="Times New Roman"/>
          <w:bCs/>
          <w:sz w:val="24"/>
          <w:szCs w:val="32"/>
          <w:highlight w:val="none"/>
        </w:rPr>
        <w:t>7.3成交候选人履约能力审查</w:t>
      </w:r>
      <w:bookmarkEnd w:id="64"/>
      <w:bookmarkEnd w:id="65"/>
    </w:p>
    <w:p>
      <w:pPr>
        <w:spacing w:line="440" w:lineRule="exact"/>
        <w:ind w:firstLine="420"/>
        <w:rPr>
          <w:rFonts w:ascii="Times New Roman" w:hAnsi="Times New Roman" w:cs="Times New Roman"/>
          <w:highlight w:val="none"/>
        </w:rPr>
      </w:pPr>
      <w:r>
        <w:rPr>
          <w:rFonts w:ascii="Times New Roman" w:hAnsi="Times New Roman" w:cs="Times New Roman"/>
          <w:highlight w:val="none"/>
        </w:rPr>
        <w:t>成交候选人的经营、财务状况发生较大变化或存在违法行为，采购人认为可能影响其履约能力的，将在发出成交通知书前提请原</w:t>
      </w:r>
      <w:r>
        <w:rPr>
          <w:rFonts w:hint="eastAsia" w:ascii="Times New Roman" w:hAnsi="Times New Roman" w:cs="Times New Roman"/>
          <w:highlight w:val="none"/>
        </w:rPr>
        <w:t>评审小组</w:t>
      </w:r>
      <w:r>
        <w:rPr>
          <w:rFonts w:ascii="Times New Roman" w:hAnsi="Times New Roman" w:cs="Times New Roman"/>
          <w:highlight w:val="none"/>
        </w:rPr>
        <w:t>按照询比文件规定的标准和方法进行审查确认。</w:t>
      </w:r>
    </w:p>
    <w:p>
      <w:pPr>
        <w:keepNext/>
        <w:keepLines/>
        <w:spacing w:before="120" w:after="120"/>
        <w:outlineLvl w:val="2"/>
        <w:rPr>
          <w:rFonts w:hint="eastAsia" w:ascii="Times New Roman" w:hAnsi="Times New Roman" w:eastAsia="黑体" w:cs="Times New Roman"/>
          <w:bCs/>
          <w:sz w:val="24"/>
          <w:szCs w:val="32"/>
          <w:highlight w:val="none"/>
          <w:lang w:val="en-US" w:eastAsia="zh-CN"/>
        </w:rPr>
      </w:pPr>
      <w:r>
        <w:rPr>
          <w:rFonts w:hint="eastAsia" w:ascii="Times New Roman" w:hAnsi="Times New Roman" w:eastAsia="黑体" w:cs="Times New Roman"/>
          <w:bCs/>
          <w:sz w:val="24"/>
          <w:szCs w:val="32"/>
          <w:highlight w:val="none"/>
          <w:lang w:val="en-US" w:eastAsia="zh-CN"/>
        </w:rPr>
        <w:t>7.4 确定成交人</w:t>
      </w:r>
    </w:p>
    <w:p>
      <w:pPr>
        <w:spacing w:line="440" w:lineRule="exact"/>
        <w:ind w:firstLine="420" w:firstLineChars="200"/>
        <w:rPr>
          <w:rFonts w:hint="default" w:ascii="Times New Roman" w:hAnsi="Times New Roman" w:cs="Times New Roman"/>
          <w:highlight w:val="none"/>
          <w:lang w:val="en-US" w:eastAsia="zh-CN"/>
        </w:rPr>
      </w:pPr>
      <w:r>
        <w:rPr>
          <w:rFonts w:hint="eastAsia" w:ascii="Times New Roman" w:hAnsi="Times New Roman" w:cs="Times New Roman"/>
          <w:highlight w:val="none"/>
          <w:lang w:val="en-US" w:eastAsia="zh-CN"/>
        </w:rPr>
        <w:t>采购</w:t>
      </w:r>
      <w:r>
        <w:rPr>
          <w:rFonts w:hint="default" w:ascii="Times New Roman" w:hAnsi="Times New Roman" w:cs="Times New Roman"/>
          <w:highlight w:val="none"/>
          <w:lang w:val="en-US" w:eastAsia="zh-CN"/>
        </w:rPr>
        <w:t>人或</w:t>
      </w:r>
      <w:r>
        <w:rPr>
          <w:rFonts w:hint="eastAsia" w:ascii="Times New Roman" w:hAnsi="Times New Roman" w:cs="Times New Roman"/>
          <w:highlight w:val="none"/>
          <w:lang w:val="en-US" w:eastAsia="zh-CN"/>
        </w:rPr>
        <w:t>采购</w:t>
      </w:r>
      <w:r>
        <w:rPr>
          <w:rFonts w:hint="default" w:ascii="Times New Roman" w:hAnsi="Times New Roman" w:cs="Times New Roman"/>
          <w:highlight w:val="none"/>
          <w:lang w:val="en-US" w:eastAsia="zh-CN"/>
        </w:rPr>
        <w:t>人授权的评</w:t>
      </w:r>
      <w:r>
        <w:rPr>
          <w:rFonts w:hint="eastAsia" w:ascii="Times New Roman" w:hAnsi="Times New Roman" w:cs="Times New Roman"/>
          <w:highlight w:val="none"/>
          <w:lang w:val="en-US" w:eastAsia="zh-CN"/>
        </w:rPr>
        <w:t>审小组</w:t>
      </w:r>
      <w:r>
        <w:rPr>
          <w:rFonts w:hint="default" w:ascii="Times New Roman" w:hAnsi="Times New Roman" w:cs="Times New Roman"/>
          <w:highlight w:val="none"/>
          <w:lang w:val="en-US" w:eastAsia="zh-CN"/>
        </w:rPr>
        <w:t>依法确定</w:t>
      </w:r>
      <w:r>
        <w:rPr>
          <w:rFonts w:hint="eastAsia" w:ascii="Times New Roman" w:hAnsi="Times New Roman" w:cs="Times New Roman"/>
          <w:highlight w:val="none"/>
          <w:lang w:val="en-US" w:eastAsia="zh-CN"/>
        </w:rPr>
        <w:t>成交</w:t>
      </w:r>
      <w:r>
        <w:rPr>
          <w:rFonts w:hint="default" w:ascii="Times New Roman" w:hAnsi="Times New Roman" w:cs="Times New Roman"/>
          <w:highlight w:val="none"/>
          <w:lang w:val="en-US" w:eastAsia="zh-CN"/>
        </w:rPr>
        <w:t>人。排名第一的</w:t>
      </w:r>
      <w:r>
        <w:rPr>
          <w:rFonts w:hint="eastAsia" w:ascii="Times New Roman" w:hAnsi="Times New Roman" w:cs="Times New Roman"/>
          <w:highlight w:val="none"/>
          <w:lang w:val="en-US" w:eastAsia="zh-CN"/>
        </w:rPr>
        <w:t>成交</w:t>
      </w:r>
      <w:r>
        <w:rPr>
          <w:rFonts w:hint="default" w:ascii="Times New Roman" w:hAnsi="Times New Roman" w:cs="Times New Roman"/>
          <w:highlight w:val="none"/>
          <w:lang w:val="en-US" w:eastAsia="zh-CN"/>
        </w:rPr>
        <w:t>候选人放弃中标、因不可抗力不能履行合同、不按照</w:t>
      </w:r>
      <w:r>
        <w:rPr>
          <w:rFonts w:hint="eastAsia" w:ascii="Times New Roman" w:hAnsi="Times New Roman" w:cs="Times New Roman"/>
          <w:highlight w:val="none"/>
          <w:lang w:val="en-US" w:eastAsia="zh-CN"/>
        </w:rPr>
        <w:t>询比</w:t>
      </w:r>
      <w:r>
        <w:rPr>
          <w:rFonts w:hint="default" w:ascii="Times New Roman" w:hAnsi="Times New Roman" w:cs="Times New Roman"/>
          <w:highlight w:val="none"/>
          <w:lang w:val="en-US" w:eastAsia="zh-CN"/>
        </w:rPr>
        <w:t>文件要求提交履约保证金，或者被查实存在影响</w:t>
      </w:r>
      <w:r>
        <w:rPr>
          <w:rFonts w:hint="eastAsia" w:ascii="Times New Roman" w:hAnsi="Times New Roman" w:cs="Times New Roman"/>
          <w:highlight w:val="none"/>
          <w:lang w:val="en-US" w:eastAsia="zh-CN"/>
        </w:rPr>
        <w:t>成交</w:t>
      </w:r>
      <w:r>
        <w:rPr>
          <w:rFonts w:hint="default" w:ascii="Times New Roman" w:hAnsi="Times New Roman" w:cs="Times New Roman"/>
          <w:highlight w:val="none"/>
          <w:lang w:val="en-US" w:eastAsia="zh-CN"/>
        </w:rPr>
        <w:t>结果的违法行为等情形，不符合</w:t>
      </w:r>
      <w:r>
        <w:rPr>
          <w:rFonts w:hint="eastAsia" w:ascii="Times New Roman" w:hAnsi="Times New Roman" w:cs="Times New Roman"/>
          <w:highlight w:val="none"/>
          <w:lang w:val="en-US" w:eastAsia="zh-CN"/>
        </w:rPr>
        <w:t>成交</w:t>
      </w:r>
      <w:r>
        <w:rPr>
          <w:rFonts w:hint="default" w:ascii="Times New Roman" w:hAnsi="Times New Roman" w:cs="Times New Roman"/>
          <w:highlight w:val="none"/>
          <w:lang w:val="en-US" w:eastAsia="zh-CN"/>
        </w:rPr>
        <w:t>条件的，</w:t>
      </w:r>
      <w:r>
        <w:rPr>
          <w:rFonts w:hint="eastAsia" w:ascii="Times New Roman" w:hAnsi="Times New Roman" w:cs="Times New Roman"/>
          <w:highlight w:val="none"/>
          <w:lang w:val="en-US" w:eastAsia="zh-CN"/>
        </w:rPr>
        <w:t>采购</w:t>
      </w:r>
      <w:r>
        <w:rPr>
          <w:rFonts w:hint="default" w:ascii="Times New Roman" w:hAnsi="Times New Roman" w:cs="Times New Roman"/>
          <w:highlight w:val="none"/>
          <w:lang w:val="en-US" w:eastAsia="zh-CN"/>
        </w:rPr>
        <w:t>人可以按照</w:t>
      </w:r>
      <w:r>
        <w:rPr>
          <w:rFonts w:hint="eastAsia" w:ascii="Times New Roman" w:hAnsi="Times New Roman" w:cs="Times New Roman"/>
          <w:highlight w:val="none"/>
          <w:lang w:val="en-US" w:eastAsia="zh-CN"/>
        </w:rPr>
        <w:t>评审小组</w:t>
      </w:r>
      <w:r>
        <w:rPr>
          <w:rFonts w:hint="default" w:ascii="Times New Roman" w:hAnsi="Times New Roman" w:cs="Times New Roman"/>
          <w:highlight w:val="none"/>
          <w:lang w:val="en-US" w:eastAsia="zh-CN"/>
        </w:rPr>
        <w:t>提出的</w:t>
      </w:r>
      <w:r>
        <w:rPr>
          <w:rFonts w:hint="eastAsia" w:ascii="Times New Roman" w:hAnsi="Times New Roman" w:cs="Times New Roman"/>
          <w:highlight w:val="none"/>
          <w:lang w:val="en-US" w:eastAsia="zh-CN"/>
        </w:rPr>
        <w:t>成交</w:t>
      </w:r>
      <w:r>
        <w:rPr>
          <w:rFonts w:hint="default" w:ascii="Times New Roman" w:hAnsi="Times New Roman" w:cs="Times New Roman"/>
          <w:highlight w:val="none"/>
          <w:lang w:val="en-US" w:eastAsia="zh-CN"/>
        </w:rPr>
        <w:t>候选人名单排序依次确定其他</w:t>
      </w:r>
      <w:r>
        <w:rPr>
          <w:rFonts w:hint="eastAsia" w:ascii="Times New Roman" w:hAnsi="Times New Roman" w:cs="Times New Roman"/>
          <w:highlight w:val="none"/>
          <w:lang w:val="en-US" w:eastAsia="zh-CN"/>
        </w:rPr>
        <w:t>成交</w:t>
      </w:r>
      <w:r>
        <w:rPr>
          <w:rFonts w:hint="default" w:ascii="Times New Roman" w:hAnsi="Times New Roman" w:cs="Times New Roman"/>
          <w:highlight w:val="none"/>
          <w:lang w:val="en-US" w:eastAsia="zh-CN"/>
        </w:rPr>
        <w:t>候选人为</w:t>
      </w:r>
      <w:r>
        <w:rPr>
          <w:rFonts w:hint="eastAsia" w:ascii="Times New Roman" w:hAnsi="Times New Roman" w:cs="Times New Roman"/>
          <w:highlight w:val="none"/>
          <w:lang w:val="en-US" w:eastAsia="zh-CN"/>
        </w:rPr>
        <w:t>成交</w:t>
      </w:r>
      <w:r>
        <w:rPr>
          <w:rFonts w:hint="default" w:ascii="Times New Roman" w:hAnsi="Times New Roman" w:cs="Times New Roman"/>
          <w:highlight w:val="none"/>
          <w:lang w:val="en-US" w:eastAsia="zh-CN"/>
        </w:rPr>
        <w:t>人，也可以重新</w:t>
      </w:r>
      <w:r>
        <w:rPr>
          <w:rFonts w:hint="eastAsia" w:ascii="Times New Roman" w:hAnsi="Times New Roman" w:cs="Times New Roman"/>
          <w:highlight w:val="none"/>
          <w:lang w:val="en-US" w:eastAsia="zh-CN"/>
        </w:rPr>
        <w:t>询比</w:t>
      </w:r>
      <w:r>
        <w:rPr>
          <w:rFonts w:hint="default" w:ascii="Times New Roman" w:hAnsi="Times New Roman" w:cs="Times New Roman"/>
          <w:highlight w:val="none"/>
          <w:lang w:val="en-US" w:eastAsia="zh-CN"/>
        </w:rPr>
        <w:t>。</w:t>
      </w:r>
    </w:p>
    <w:p>
      <w:pPr>
        <w:keepNext/>
        <w:keepLines/>
        <w:spacing w:before="120" w:after="120"/>
        <w:outlineLvl w:val="2"/>
        <w:rPr>
          <w:rFonts w:ascii="Times New Roman" w:hAnsi="Times New Roman" w:eastAsia="黑体" w:cs="Times New Roman"/>
          <w:bCs/>
          <w:sz w:val="24"/>
          <w:szCs w:val="32"/>
          <w:highlight w:val="none"/>
        </w:rPr>
      </w:pPr>
      <w:bookmarkStart w:id="66" w:name="_Toc14201253"/>
      <w:bookmarkStart w:id="67" w:name="_Toc26656984"/>
      <w:r>
        <w:rPr>
          <w:rFonts w:ascii="Times New Roman" w:hAnsi="Times New Roman" w:eastAsia="黑体" w:cs="Times New Roman"/>
          <w:bCs/>
          <w:sz w:val="24"/>
          <w:szCs w:val="32"/>
          <w:highlight w:val="none"/>
        </w:rPr>
        <w:t>7.</w:t>
      </w:r>
      <w:r>
        <w:rPr>
          <w:rFonts w:hint="eastAsia" w:ascii="Times New Roman" w:hAnsi="Times New Roman" w:eastAsia="黑体" w:cs="Times New Roman"/>
          <w:bCs/>
          <w:sz w:val="24"/>
          <w:szCs w:val="32"/>
          <w:highlight w:val="none"/>
        </w:rPr>
        <w:t>4</w:t>
      </w:r>
      <w:r>
        <w:rPr>
          <w:rFonts w:ascii="Times New Roman" w:hAnsi="Times New Roman" w:eastAsia="黑体" w:cs="Times New Roman"/>
          <w:bCs/>
          <w:sz w:val="24"/>
          <w:szCs w:val="32"/>
          <w:highlight w:val="none"/>
        </w:rPr>
        <w:t>签订合同</w:t>
      </w:r>
      <w:bookmarkEnd w:id="66"/>
      <w:bookmarkEnd w:id="67"/>
    </w:p>
    <w:p>
      <w:pPr>
        <w:spacing w:line="440" w:lineRule="exact"/>
        <w:ind w:firstLine="420"/>
        <w:rPr>
          <w:rFonts w:ascii="Times New Roman" w:hAnsi="Times New Roman" w:cs="Times New Roman"/>
          <w:highlight w:val="none"/>
        </w:rPr>
      </w:pPr>
      <w:r>
        <w:rPr>
          <w:rFonts w:ascii="Times New Roman" w:hAnsi="Times New Roman" w:cs="Times New Roman"/>
          <w:highlight w:val="none"/>
        </w:rPr>
        <w:t>采购人和成交人应在响应有效期内以及成交通知书发出之日起30日内，</w:t>
      </w:r>
      <w:r>
        <w:rPr>
          <w:rFonts w:hint="eastAsia" w:ascii="Times New Roman" w:hAnsi="Times New Roman" w:cs="Times New Roman"/>
          <w:b/>
          <w:bCs/>
          <w:highlight w:val="none"/>
          <w:lang w:val="en-US" w:eastAsia="zh-CN"/>
        </w:rPr>
        <w:t>成交人应提交采购人10万元履约保证金后，</w:t>
      </w:r>
      <w:r>
        <w:rPr>
          <w:rFonts w:ascii="Times New Roman" w:hAnsi="Times New Roman" w:cs="Times New Roman"/>
          <w:highlight w:val="none"/>
        </w:rPr>
        <w:t>根据询比文件和成交人的响应文件订立书面合同。成交人无正当理由拒签合同，在签订合同时向采购人提出附加条件，或不按照询比文件要求</w:t>
      </w:r>
      <w:r>
        <w:rPr>
          <w:rFonts w:hint="eastAsia" w:ascii="Times New Roman" w:hAnsi="Times New Roman" w:cs="Times New Roman"/>
          <w:highlight w:val="none"/>
        </w:rPr>
        <w:t>变更</w:t>
      </w:r>
      <w:r>
        <w:rPr>
          <w:rFonts w:ascii="Times New Roman" w:hAnsi="Times New Roman" w:cs="Times New Roman"/>
          <w:highlight w:val="none"/>
        </w:rPr>
        <w:t>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68" w:name="_Toc26656988"/>
      <w:bookmarkStart w:id="69" w:name="_Toc14201257"/>
      <w:bookmarkStart w:id="70" w:name="_Toc9067727"/>
      <w:r>
        <w:rPr>
          <w:rFonts w:ascii="Times New Roman" w:hAnsi="Times New Roman" w:eastAsia="黑体" w:cs="Times New Roman"/>
          <w:bCs/>
          <w:sz w:val="24"/>
          <w:szCs w:val="32"/>
          <w:highlight w:val="none"/>
        </w:rPr>
        <w:t>8. 纪律和监督</w:t>
      </w:r>
      <w:bookmarkEnd w:id="68"/>
      <w:bookmarkEnd w:id="69"/>
      <w:bookmarkEnd w:id="70"/>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供应商不得相互串通报价或与采购人串通报价，不得向采购人或</w:t>
      </w:r>
      <w:r>
        <w:rPr>
          <w:rFonts w:hint="eastAsia" w:ascii="Times New Roman" w:hAnsi="Times New Roman" w:cs="Times New Roman"/>
          <w:highlight w:val="none"/>
        </w:rPr>
        <w:t>评审小组</w:t>
      </w:r>
      <w:r>
        <w:rPr>
          <w:rFonts w:ascii="Times New Roman" w:hAnsi="Times New Roman" w:cs="Times New Roman"/>
          <w:highlight w:val="none"/>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71" w:name="_Toc26656993"/>
      <w:bookmarkStart w:id="72" w:name="_Toc14201262"/>
      <w:r>
        <w:rPr>
          <w:rFonts w:hint="eastAsia" w:ascii="Times New Roman" w:hAnsi="Times New Roman" w:eastAsia="黑体" w:cs="Times New Roman"/>
          <w:bCs/>
          <w:sz w:val="24"/>
          <w:szCs w:val="32"/>
          <w:highlight w:val="none"/>
        </w:rPr>
        <w:t>9</w:t>
      </w:r>
      <w:r>
        <w:rPr>
          <w:rFonts w:ascii="Times New Roman" w:hAnsi="Times New Roman" w:eastAsia="黑体" w:cs="Times New Roman"/>
          <w:bCs/>
          <w:sz w:val="24"/>
          <w:szCs w:val="32"/>
          <w:highlight w:val="none"/>
        </w:rPr>
        <w:t>投诉</w:t>
      </w:r>
      <w:bookmarkEnd w:id="71"/>
      <w:bookmarkEnd w:id="72"/>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供应商或其他利害关系人认为询比活动不符合法律法规规定的，可以自知道或应当知道之日起10日内向有关监督部门投诉。投诉应有明确的请求和必要的证明材料。</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73" w:name="_Toc26656994"/>
      <w:bookmarkStart w:id="74" w:name="_Toc14201263"/>
      <w:bookmarkStart w:id="75" w:name="_Toc9067731"/>
      <w:r>
        <w:rPr>
          <w:rFonts w:hint="eastAsia" w:ascii="Times New Roman" w:hAnsi="Times New Roman" w:eastAsia="黑体" w:cs="Times New Roman"/>
          <w:bCs/>
          <w:sz w:val="24"/>
          <w:szCs w:val="32"/>
          <w:highlight w:val="none"/>
        </w:rPr>
        <w:t>10</w:t>
      </w:r>
      <w:r>
        <w:rPr>
          <w:rFonts w:ascii="Times New Roman" w:hAnsi="Times New Roman" w:eastAsia="黑体" w:cs="Times New Roman"/>
          <w:bCs/>
          <w:sz w:val="24"/>
          <w:szCs w:val="32"/>
          <w:highlight w:val="none"/>
        </w:rPr>
        <w:t>.需要补充的其他内容</w:t>
      </w:r>
      <w:bookmarkEnd w:id="73"/>
      <w:bookmarkEnd w:id="74"/>
      <w:bookmarkEnd w:id="75"/>
    </w:p>
    <w:p>
      <w:pPr>
        <w:spacing w:line="440" w:lineRule="exact"/>
        <w:ind w:firstLine="420"/>
        <w:rPr>
          <w:rFonts w:ascii="Times New Roman" w:hAnsi="Times New Roman" w:cs="Times New Roman"/>
          <w:highlight w:val="none"/>
        </w:rPr>
      </w:pPr>
      <w:r>
        <w:rPr>
          <w:rFonts w:ascii="Times New Roman" w:hAnsi="Times New Roman" w:cs="Times New Roman"/>
          <w:highlight w:val="none"/>
        </w:rPr>
        <w:t>需要补充的其他内容：</w:t>
      </w:r>
      <w:r>
        <w:rPr>
          <w:rFonts w:hint="eastAsia" w:ascii="Times New Roman" w:hAnsi="Times New Roman" w:cs="Times New Roman"/>
          <w:highlight w:val="none"/>
        </w:rPr>
        <w:t>_____________________。</w:t>
      </w:r>
    </w:p>
    <w:p>
      <w:pPr>
        <w:pStyle w:val="22"/>
        <w:jc w:val="right"/>
        <w:rPr>
          <w:rFonts w:hint="default" w:ascii="Times New Roman" w:hAnsi="Times New Roman"/>
          <w:color w:val="auto"/>
          <w:sz w:val="21"/>
          <w:szCs w:val="22"/>
          <w:highlight w:val="none"/>
        </w:rPr>
      </w:pPr>
    </w:p>
    <w:p>
      <w:pPr>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keepNext/>
        <w:keepLines/>
        <w:tabs>
          <w:tab w:val="left" w:pos="0"/>
        </w:tabs>
        <w:spacing w:before="312" w:beforeLines="100" w:after="312" w:afterLines="100" w:line="400" w:lineRule="exact"/>
        <w:jc w:val="center"/>
        <w:outlineLvl w:val="0"/>
        <w:rPr>
          <w:rFonts w:ascii="Times New Roman" w:hAnsi="Times New Roman" w:eastAsia="宋体" w:cs="Times New Roman"/>
          <w:b/>
          <w:bCs/>
          <w:kern w:val="44"/>
          <w:sz w:val="36"/>
          <w:szCs w:val="44"/>
          <w:highlight w:val="none"/>
        </w:rPr>
      </w:pPr>
      <w:r>
        <w:rPr>
          <w:rFonts w:hint="eastAsia" w:ascii="Times New Roman" w:hAnsi="Times New Roman" w:eastAsia="宋体" w:cs="Times New Roman"/>
          <w:b/>
          <w:bCs/>
          <w:kern w:val="44"/>
          <w:sz w:val="36"/>
          <w:szCs w:val="44"/>
          <w:highlight w:val="none"/>
        </w:rPr>
        <w:t>第三章</w:t>
      </w:r>
      <w:r>
        <w:rPr>
          <w:rFonts w:hint="eastAsia" w:ascii="Times New Roman" w:hAnsi="Times New Roman" w:eastAsia="宋体" w:cs="Times New Roman"/>
          <w:b/>
          <w:bCs/>
          <w:kern w:val="44"/>
          <w:sz w:val="36"/>
          <w:szCs w:val="44"/>
          <w:highlight w:val="none"/>
          <w:lang w:val="en-US" w:eastAsia="zh-CN"/>
        </w:rPr>
        <w:t xml:space="preserve">  </w:t>
      </w:r>
      <w:r>
        <w:rPr>
          <w:rFonts w:ascii="Times New Roman" w:hAnsi="Times New Roman" w:eastAsia="宋体" w:cs="Times New Roman"/>
          <w:b/>
          <w:bCs/>
          <w:kern w:val="44"/>
          <w:sz w:val="36"/>
          <w:szCs w:val="44"/>
          <w:highlight w:val="none"/>
        </w:rPr>
        <w:t>评审办法</w:t>
      </w:r>
    </w:p>
    <w:p>
      <w:pPr>
        <w:spacing w:after="312" w:afterLines="100" w:line="42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评审办法前附表</w:t>
      </w:r>
      <w:r>
        <w:rPr>
          <w:rFonts w:hint="eastAsia" w:ascii="Times New Roman" w:hAnsi="Times New Roman" w:eastAsia="黑体" w:cs="Times New Roman"/>
          <w:sz w:val="28"/>
          <w:szCs w:val="28"/>
          <w:highlight w:val="none"/>
        </w:rPr>
        <w:t>（综合评分法）</w:t>
      </w: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vAlign w:val="center"/>
          </w:tcPr>
          <w:p>
            <w:pPr>
              <w:widowControl/>
              <w:jc w:val="center"/>
              <w:rPr>
                <w:rFonts w:ascii="Times New Roman" w:hAnsi="Times New Roman" w:eastAsia="宋体" w:cs="Times New Roman"/>
                <w:kern w:val="0"/>
                <w:szCs w:val="21"/>
                <w:highlight w:val="none"/>
              </w:rPr>
            </w:pPr>
            <w:r>
              <w:rPr>
                <w:rFonts w:ascii="Times New Roman" w:hAnsi="Times New Roman" w:eastAsia="宋体" w:cs="Times New Roman"/>
                <w:b/>
                <w:bCs/>
                <w:kern w:val="0"/>
                <w:szCs w:val="21"/>
                <w:highlight w:val="none"/>
              </w:rPr>
              <w:t>条款号</w:t>
            </w:r>
          </w:p>
        </w:tc>
        <w:tc>
          <w:tcPr>
            <w:tcW w:w="1774" w:type="dxa"/>
            <w:vAlign w:val="center"/>
          </w:tcPr>
          <w:p>
            <w:pPr>
              <w:widowControl/>
              <w:ind w:firstLine="105" w:firstLineChars="50"/>
              <w:jc w:val="center"/>
              <w:rPr>
                <w:rFonts w:ascii="Times New Roman" w:hAnsi="Times New Roman" w:eastAsia="宋体" w:cs="Times New Roman"/>
                <w:kern w:val="0"/>
                <w:szCs w:val="21"/>
                <w:highlight w:val="none"/>
              </w:rPr>
            </w:pPr>
            <w:r>
              <w:rPr>
                <w:rFonts w:ascii="Times New Roman" w:hAnsi="Times New Roman" w:eastAsia="宋体" w:cs="Times New Roman"/>
                <w:b/>
                <w:bCs/>
                <w:kern w:val="0"/>
                <w:szCs w:val="21"/>
                <w:highlight w:val="none"/>
              </w:rPr>
              <w:t>评审因素</w:t>
            </w:r>
          </w:p>
        </w:tc>
        <w:tc>
          <w:tcPr>
            <w:tcW w:w="5676" w:type="dxa"/>
            <w:vAlign w:val="center"/>
          </w:tcPr>
          <w:p>
            <w:pPr>
              <w:widowControl/>
              <w:ind w:firstLine="105" w:firstLineChars="50"/>
              <w:jc w:val="center"/>
              <w:rPr>
                <w:rFonts w:ascii="Times New Roman" w:hAnsi="Times New Roman" w:eastAsia="宋体" w:cs="Times New Roman"/>
                <w:kern w:val="0"/>
                <w:szCs w:val="21"/>
                <w:highlight w:val="none"/>
              </w:rPr>
            </w:pPr>
            <w:r>
              <w:rPr>
                <w:rFonts w:ascii="Times New Roman" w:hAnsi="Times New Roman" w:eastAsia="宋体" w:cs="Times New Roman"/>
                <w:b/>
                <w:bCs/>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vAlign w:val="center"/>
          </w:tcPr>
          <w:p>
            <w:pPr>
              <w:widowControl/>
              <w:jc w:val="center"/>
              <w:rPr>
                <w:rFonts w:ascii="Times New Roman" w:hAnsi="Times New Roman" w:eastAsia="宋体" w:cs="Times New Roman"/>
                <w:bCs/>
                <w:kern w:val="0"/>
                <w:szCs w:val="21"/>
                <w:highlight w:val="none"/>
              </w:rPr>
            </w:pPr>
            <w:r>
              <w:rPr>
                <w:rFonts w:ascii="Times New Roman" w:hAnsi="Times New Roman" w:eastAsia="宋体" w:cs="Times New Roman"/>
                <w:bCs/>
                <w:kern w:val="0"/>
                <w:szCs w:val="21"/>
                <w:highlight w:val="none"/>
              </w:rPr>
              <w:t>1</w:t>
            </w:r>
          </w:p>
        </w:tc>
        <w:tc>
          <w:tcPr>
            <w:tcW w:w="1060" w:type="dxa"/>
            <w:vAlign w:val="center"/>
          </w:tcPr>
          <w:p>
            <w:pPr>
              <w:widowControl/>
              <w:jc w:val="center"/>
              <w:rPr>
                <w:rFonts w:ascii="Times New Roman" w:hAnsi="Times New Roman" w:eastAsia="宋体" w:cs="Times New Roman"/>
                <w:bCs/>
                <w:kern w:val="0"/>
                <w:szCs w:val="21"/>
                <w:highlight w:val="none"/>
              </w:rPr>
            </w:pPr>
            <w:r>
              <w:rPr>
                <w:rFonts w:ascii="Times New Roman" w:hAnsi="Times New Roman" w:eastAsia="宋体" w:cs="Times New Roman"/>
                <w:bCs/>
                <w:kern w:val="0"/>
                <w:szCs w:val="21"/>
                <w:highlight w:val="none"/>
              </w:rPr>
              <w:t>评审</w:t>
            </w:r>
            <w:r>
              <w:rPr>
                <w:rFonts w:hint="eastAsia" w:ascii="Times New Roman" w:hAnsi="Times New Roman" w:eastAsia="宋体" w:cs="Times New Roman"/>
                <w:bCs/>
                <w:kern w:val="0"/>
                <w:szCs w:val="21"/>
                <w:highlight w:val="none"/>
              </w:rPr>
              <w:t>方</w:t>
            </w:r>
            <w:r>
              <w:rPr>
                <w:rFonts w:ascii="Times New Roman" w:hAnsi="Times New Roman" w:eastAsia="宋体" w:cs="Times New Roman"/>
                <w:bCs/>
                <w:kern w:val="0"/>
                <w:szCs w:val="21"/>
                <w:highlight w:val="none"/>
              </w:rPr>
              <w:t>法</w:t>
            </w:r>
          </w:p>
        </w:tc>
        <w:tc>
          <w:tcPr>
            <w:tcW w:w="1774" w:type="dxa"/>
            <w:tcMar>
              <w:left w:w="75" w:type="dxa"/>
            </w:tcMar>
            <w:vAlign w:val="center"/>
          </w:tcPr>
          <w:p>
            <w:pPr>
              <w:widowControl/>
              <w:adjustRightInd w:val="0"/>
              <w:snapToGrid w:val="0"/>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成交候选人</w:t>
            </w:r>
          </w:p>
          <w:p>
            <w:pPr>
              <w:widowControl/>
              <w:adjustRightInd w:val="0"/>
              <w:snapToGrid w:val="0"/>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排序方法</w:t>
            </w:r>
          </w:p>
        </w:tc>
        <w:tc>
          <w:tcPr>
            <w:tcW w:w="5676" w:type="dxa"/>
            <w:tcMar>
              <w:left w:w="75" w:type="dxa"/>
            </w:tcMar>
            <w:vAlign w:val="center"/>
          </w:tcPr>
          <w:p>
            <w:pPr>
              <w:widowControl/>
              <w:adjustRightInd w:val="0"/>
              <w:snapToGrid w:val="0"/>
              <w:jc w:val="left"/>
              <w:rPr>
                <w:rFonts w:hint="eastAsia" w:ascii="Calibri" w:hAnsi="Calibri" w:eastAsia="宋体" w:cs="Times New Roman"/>
                <w:highlight w:val="none"/>
              </w:rPr>
            </w:pPr>
            <w:r>
              <w:rPr>
                <w:rFonts w:hint="eastAsia" w:ascii="Calibri" w:hAnsi="Calibri" w:eastAsia="宋体" w:cs="Times New Roman"/>
                <w:highlight w:val="none"/>
              </w:rPr>
              <w:t>按综合得分由高到低的顺序推荐1-3名中标候选人，综合评分得分相等时，</w:t>
            </w:r>
            <w:r>
              <w:rPr>
                <w:rFonts w:hint="eastAsia" w:ascii="Calibri" w:hAnsi="Calibri" w:eastAsia="宋体" w:cs="Times New Roman"/>
                <w:highlight w:val="none"/>
                <w:lang w:eastAsia="zh-CN"/>
              </w:rPr>
              <w:t>评审</w:t>
            </w:r>
            <w:r>
              <w:rPr>
                <w:rFonts w:hint="eastAsia" w:ascii="Calibri" w:hAnsi="Calibri" w:eastAsia="宋体" w:cs="Times New Roman"/>
                <w:highlight w:val="none"/>
              </w:rPr>
              <w:t>委员会依次按照以下优先顺序推荐中标候选人：</w:t>
            </w:r>
          </w:p>
          <w:p>
            <w:pPr>
              <w:widowControl/>
              <w:adjustRightInd w:val="0"/>
              <w:snapToGrid w:val="0"/>
              <w:jc w:val="left"/>
              <w:rPr>
                <w:rFonts w:hint="eastAsia" w:ascii="Calibri" w:hAnsi="Calibri" w:eastAsia="宋体" w:cs="Times New Roman"/>
                <w:highlight w:val="none"/>
              </w:rPr>
            </w:pPr>
            <w:r>
              <w:rPr>
                <w:rFonts w:hint="eastAsia" w:ascii="Calibri" w:hAnsi="Calibri" w:eastAsia="宋体" w:cs="Times New Roman"/>
                <w:highlight w:val="none"/>
              </w:rPr>
              <w:t>（1）综合评分相等时，以</w:t>
            </w:r>
            <w:r>
              <w:rPr>
                <w:rFonts w:hint="eastAsia" w:ascii="Calibri" w:hAnsi="Calibri" w:eastAsia="宋体" w:cs="Times New Roman"/>
                <w:highlight w:val="none"/>
                <w:lang w:val="en-US" w:eastAsia="zh-CN"/>
              </w:rPr>
              <w:t>响应</w:t>
            </w:r>
            <w:r>
              <w:rPr>
                <w:rFonts w:hint="eastAsia" w:ascii="Calibri" w:hAnsi="Calibri" w:eastAsia="宋体" w:cs="Times New Roman"/>
                <w:highlight w:val="none"/>
              </w:rPr>
              <w:t>报价低的优先；</w:t>
            </w:r>
          </w:p>
          <w:p>
            <w:pPr>
              <w:widowControl/>
              <w:adjustRightInd w:val="0"/>
              <w:snapToGrid w:val="0"/>
              <w:jc w:val="left"/>
              <w:rPr>
                <w:rFonts w:hint="eastAsia" w:ascii="Calibri" w:hAnsi="Calibri" w:eastAsia="宋体" w:cs="Times New Roman"/>
                <w:highlight w:val="none"/>
              </w:rPr>
            </w:pPr>
            <w:r>
              <w:rPr>
                <w:rFonts w:hint="eastAsia" w:ascii="Calibri" w:hAnsi="Calibri" w:eastAsia="宋体" w:cs="Times New Roman"/>
                <w:highlight w:val="none"/>
              </w:rPr>
              <w:t>（2）</w:t>
            </w:r>
            <w:r>
              <w:rPr>
                <w:rFonts w:hint="eastAsia" w:ascii="Calibri" w:hAnsi="Calibri" w:eastAsia="宋体" w:cs="Times New Roman"/>
                <w:highlight w:val="none"/>
                <w:lang w:val="en-US" w:eastAsia="zh-CN"/>
              </w:rPr>
              <w:t>响应</w:t>
            </w:r>
            <w:r>
              <w:rPr>
                <w:rFonts w:hint="eastAsia" w:ascii="Calibri" w:hAnsi="Calibri" w:eastAsia="宋体" w:cs="Times New Roman"/>
                <w:highlight w:val="none"/>
              </w:rPr>
              <w:t>报价也相等的，以技术得分高的优先；</w:t>
            </w:r>
          </w:p>
          <w:p>
            <w:pPr>
              <w:widowControl/>
              <w:adjustRightInd w:val="0"/>
              <w:snapToGrid w:val="0"/>
              <w:jc w:val="left"/>
              <w:rPr>
                <w:rFonts w:ascii="Calibri" w:hAnsi="Calibri" w:eastAsia="宋体" w:cs="Times New Roman"/>
                <w:highlight w:val="none"/>
              </w:rPr>
            </w:pPr>
            <w:r>
              <w:rPr>
                <w:rFonts w:hint="eastAsia" w:ascii="Calibri" w:hAnsi="Calibri" w:eastAsia="宋体" w:cs="Times New Roman"/>
                <w:highlight w:val="none"/>
              </w:rPr>
              <w:t>（3）技术得分也相等的，以企业业绩累计金额高的优先。</w:t>
            </w:r>
          </w:p>
        </w:tc>
      </w:tr>
    </w:tbl>
    <w:p>
      <w:pPr>
        <w:adjustRightInd w:val="0"/>
        <w:snapToGrid w:val="0"/>
        <w:spacing w:line="360" w:lineRule="auto"/>
        <w:ind w:firstLine="420"/>
        <w:textAlignment w:val="baseline"/>
        <w:rPr>
          <w:rFonts w:ascii="Times New Roman" w:hAnsi="Times New Roman" w:eastAsia="宋体" w:cs="Times New Roman"/>
          <w:szCs w:val="21"/>
          <w:highlight w:val="none"/>
        </w:rPr>
      </w:pPr>
    </w:p>
    <w:tbl>
      <w:tblPr>
        <w:tblStyle w:val="14"/>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47"/>
        <w:gridCol w:w="1808"/>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31" w:type="dxa"/>
            <w:gridSpan w:val="2"/>
            <w:vAlign w:val="center"/>
          </w:tcPr>
          <w:p>
            <w:pPr>
              <w:widowControl/>
              <w:spacing w:line="360" w:lineRule="atLeast"/>
              <w:jc w:val="center"/>
              <w:rPr>
                <w:rFonts w:ascii="Times New Roman" w:hAnsi="Times New Roman" w:eastAsia="宋体" w:cs="Times New Roman"/>
                <w:kern w:val="0"/>
                <w:szCs w:val="21"/>
                <w:highlight w:val="none"/>
              </w:rPr>
            </w:pPr>
            <w:r>
              <w:rPr>
                <w:rFonts w:ascii="Times New Roman" w:hAnsi="Times New Roman" w:eastAsia="宋体" w:cs="Times New Roman"/>
                <w:b/>
                <w:bCs/>
                <w:kern w:val="0"/>
                <w:szCs w:val="21"/>
                <w:highlight w:val="none"/>
              </w:rPr>
              <w:t>条款号</w:t>
            </w:r>
          </w:p>
        </w:tc>
        <w:tc>
          <w:tcPr>
            <w:tcW w:w="1808" w:type="dxa"/>
            <w:vAlign w:val="center"/>
          </w:tcPr>
          <w:p>
            <w:pPr>
              <w:widowControl/>
              <w:spacing w:line="360" w:lineRule="atLeast"/>
              <w:jc w:val="center"/>
              <w:rPr>
                <w:rFonts w:ascii="Times New Roman" w:hAnsi="Times New Roman" w:eastAsia="宋体" w:cs="Times New Roman"/>
                <w:kern w:val="0"/>
                <w:szCs w:val="21"/>
                <w:highlight w:val="none"/>
              </w:rPr>
            </w:pPr>
            <w:r>
              <w:rPr>
                <w:rFonts w:ascii="Times New Roman" w:hAnsi="Times New Roman" w:eastAsia="宋体" w:cs="Times New Roman"/>
                <w:b/>
                <w:bCs/>
                <w:kern w:val="0"/>
                <w:szCs w:val="21"/>
                <w:highlight w:val="none"/>
              </w:rPr>
              <w:t>评审因素</w:t>
            </w:r>
          </w:p>
        </w:tc>
        <w:tc>
          <w:tcPr>
            <w:tcW w:w="5659" w:type="dxa"/>
            <w:vAlign w:val="center"/>
          </w:tcPr>
          <w:p>
            <w:pPr>
              <w:widowControl/>
              <w:spacing w:line="360" w:lineRule="atLeast"/>
              <w:jc w:val="center"/>
              <w:rPr>
                <w:rFonts w:ascii="Times New Roman" w:hAnsi="Times New Roman" w:eastAsia="宋体" w:cs="Times New Roman"/>
                <w:kern w:val="0"/>
                <w:szCs w:val="21"/>
                <w:highlight w:val="none"/>
              </w:rPr>
            </w:pPr>
            <w:r>
              <w:rPr>
                <w:rFonts w:ascii="Times New Roman" w:hAnsi="Times New Roman" w:eastAsia="宋体" w:cs="Times New Roman"/>
                <w:b/>
                <w:bCs/>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2.1.1</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形式评审标准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hint="eastAsia" w:ascii="Times New Roman" w:hAnsi="Times New Roman" w:eastAsia="宋体" w:cs="Times New Roman"/>
                <w:kern w:val="0"/>
                <w:szCs w:val="21"/>
                <w:highlight w:val="none"/>
              </w:rPr>
              <w:t>签名</w:t>
            </w:r>
            <w:r>
              <w:rPr>
                <w:rFonts w:ascii="Times New Roman" w:hAnsi="Times New Roman" w:eastAsia="宋体" w:cs="Times New Roman"/>
                <w:kern w:val="0"/>
                <w:szCs w:val="21"/>
                <w:highlight w:val="none"/>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bCs/>
                <w:kern w:val="0"/>
                <w:szCs w:val="21"/>
                <w:highlight w:val="none"/>
              </w:rPr>
              <w:t>符合第二章“供应商须知”第3.</w:t>
            </w:r>
            <w:r>
              <w:rPr>
                <w:rFonts w:hint="eastAsia" w:ascii="Times New Roman" w:hAnsi="Times New Roman" w:eastAsia="宋体" w:cs="Times New Roman"/>
                <w:bCs/>
                <w:kern w:val="0"/>
                <w:szCs w:val="21"/>
                <w:highlight w:val="none"/>
              </w:rPr>
              <w:t>6</w:t>
            </w:r>
            <w:r>
              <w:rPr>
                <w:rFonts w:ascii="Times New Roman" w:hAnsi="Times New Roman" w:eastAsia="宋体" w:cs="Times New Roman"/>
                <w:bCs/>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2.1.2</w:t>
            </w:r>
          </w:p>
        </w:tc>
        <w:tc>
          <w:tcPr>
            <w:tcW w:w="1047" w:type="dxa"/>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资格评审标准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hint="eastAsia" w:ascii="Times New Roman" w:hAnsi="Times New Roman" w:eastAsia="宋体" w:cs="Times New Roman"/>
                <w:kern w:val="0"/>
                <w:szCs w:val="21"/>
                <w:highlight w:val="none"/>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符合第二章“供应商须知”第1.</w:t>
            </w:r>
            <w:r>
              <w:rPr>
                <w:rFonts w:hint="eastAsia" w:ascii="Times New Roman" w:hAnsi="Times New Roman" w:eastAsia="宋体" w:cs="Times New Roman"/>
                <w:kern w:val="0"/>
                <w:szCs w:val="21"/>
                <w:highlight w:val="none"/>
              </w:rPr>
              <w:t>2</w:t>
            </w:r>
            <w:r>
              <w:rPr>
                <w:rFonts w:ascii="Times New Roman" w:hAnsi="Times New Roman" w:eastAsia="宋体" w:cs="Times New Roman"/>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2.1.3</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响应性评审标准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hint="eastAsia" w:ascii="Times New Roman" w:hAnsi="Times New Roman" w:eastAsia="宋体" w:cs="Times New Roman"/>
                <w:highlight w:val="none"/>
              </w:rPr>
              <w:t>符合</w:t>
            </w:r>
            <w:r>
              <w:rPr>
                <w:rFonts w:ascii="Times New Roman" w:hAnsi="Times New Roman" w:eastAsia="宋体" w:cs="Times New Roman"/>
                <w:highlight w:val="none"/>
              </w:rPr>
              <w:t>第一章“</w:t>
            </w:r>
            <w:r>
              <w:rPr>
                <w:rFonts w:hint="eastAsia" w:ascii="Times New Roman" w:hAnsi="Times New Roman" w:eastAsia="宋体" w:cs="Times New Roman"/>
                <w:szCs w:val="21"/>
                <w:highlight w:val="none"/>
              </w:rPr>
              <w:t>采购公告</w:t>
            </w:r>
            <w:r>
              <w:rPr>
                <w:rFonts w:ascii="Times New Roman" w:hAnsi="Times New Roman" w:eastAsia="宋体" w:cs="Times New Roman"/>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hint="eastAsia" w:ascii="Times New Roman" w:hAnsi="Times New Roman" w:eastAsia="宋体" w:cs="Times New Roman"/>
                <w:kern w:val="0"/>
                <w:szCs w:val="21"/>
                <w:highlight w:val="none"/>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hint="eastAsia" w:ascii="Times New Roman" w:hAnsi="Times New Roman" w:eastAsia="宋体" w:cs="Times New Roman"/>
                <w:highlight w:val="none"/>
              </w:rPr>
              <w:t>符合</w:t>
            </w:r>
            <w:r>
              <w:rPr>
                <w:rFonts w:ascii="Times New Roman" w:hAnsi="Times New Roman" w:eastAsia="宋体" w:cs="Times New Roman"/>
                <w:highlight w:val="none"/>
              </w:rPr>
              <w:t>第一章“</w:t>
            </w:r>
            <w:r>
              <w:rPr>
                <w:rFonts w:hint="eastAsia" w:ascii="Times New Roman" w:hAnsi="Times New Roman" w:eastAsia="宋体" w:cs="Times New Roman"/>
                <w:szCs w:val="21"/>
                <w:highlight w:val="none"/>
              </w:rPr>
              <w:t>采购公告</w:t>
            </w:r>
            <w:r>
              <w:rPr>
                <w:rFonts w:ascii="Times New Roman" w:hAnsi="Times New Roman" w:eastAsia="宋体" w:cs="Times New Roman"/>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符合第二章“供应商须知”第1.</w:t>
            </w:r>
            <w:r>
              <w:rPr>
                <w:rFonts w:hint="eastAsia" w:ascii="Times New Roman" w:hAnsi="Times New Roman" w:eastAsia="宋体" w:cs="Times New Roman"/>
                <w:kern w:val="0"/>
                <w:szCs w:val="21"/>
                <w:highlight w:val="none"/>
              </w:rPr>
              <w:t>1</w:t>
            </w:r>
            <w:r>
              <w:rPr>
                <w:rFonts w:ascii="Times New Roman" w:hAnsi="Times New Roman" w:eastAsia="宋体" w:cs="Times New Roman"/>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bCs/>
                <w:kern w:val="0"/>
                <w:szCs w:val="21"/>
                <w:highlight w:val="none"/>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highlight w:val="none"/>
              </w:rPr>
            </w:pPr>
            <w:r>
              <w:rPr>
                <w:rFonts w:ascii="Times New Roman" w:hAnsi="Times New Roman" w:eastAsia="宋体" w:cs="Times New Roman"/>
                <w:bCs/>
                <w:kern w:val="0"/>
                <w:szCs w:val="21"/>
                <w:highlight w:val="none"/>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highlight w:val="none"/>
              </w:rPr>
            </w:pPr>
            <w:r>
              <w:rPr>
                <w:rFonts w:ascii="Times New Roman" w:hAnsi="Times New Roman" w:eastAsia="宋体" w:cs="Times New Roman"/>
                <w:bCs/>
                <w:kern w:val="0"/>
                <w:szCs w:val="21"/>
                <w:highlight w:val="none"/>
              </w:rPr>
              <w:t>符合</w:t>
            </w:r>
            <w:r>
              <w:rPr>
                <w:rFonts w:ascii="Times New Roman" w:hAnsi="Times New Roman" w:eastAsia="宋体" w:cs="Times New Roman"/>
                <w:highlight w:val="none"/>
              </w:rPr>
              <w:t>第一章“</w:t>
            </w:r>
            <w:r>
              <w:rPr>
                <w:rFonts w:hint="eastAsia" w:ascii="Times New Roman" w:hAnsi="Times New Roman" w:eastAsia="宋体" w:cs="Times New Roman"/>
                <w:szCs w:val="21"/>
                <w:highlight w:val="none"/>
              </w:rPr>
              <w:t>采购公告</w:t>
            </w:r>
            <w:r>
              <w:rPr>
                <w:rFonts w:ascii="Times New Roman" w:hAnsi="Times New Roman" w:eastAsia="宋体" w:cs="Times New Roman"/>
                <w:highlight w:val="none"/>
              </w:rPr>
              <w:t>”</w:t>
            </w:r>
            <w:r>
              <w:rPr>
                <w:rFonts w:hint="eastAsia" w:ascii="Times New Roman" w:hAnsi="Times New Roman" w:eastAsia="宋体" w:cs="Times New Roman"/>
                <w:bCs/>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highlight w:val="none"/>
              </w:rPr>
            </w:pPr>
            <w:r>
              <w:rPr>
                <w:rFonts w:hint="eastAsia" w:ascii="Times New Roman" w:hAnsi="Times New Roman" w:eastAsia="宋体" w:cs="Times New Roman"/>
                <w:bCs/>
                <w:kern w:val="0"/>
                <w:szCs w:val="21"/>
                <w:highlight w:val="none"/>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hint="eastAsia" w:ascii="Times New Roman" w:hAnsi="Times New Roman" w:eastAsia="宋体" w:cs="Times New Roman"/>
                <w:kern w:val="0"/>
                <w:szCs w:val="21"/>
                <w:highlight w:val="none"/>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bCs/>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hint="eastAsia" w:ascii="Times New Roman" w:hAnsi="Times New Roman" w:eastAsia="宋体" w:cs="Times New Roman"/>
                <w:kern w:val="0"/>
                <w:szCs w:val="21"/>
                <w:highlight w:val="none"/>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highlight w:val="none"/>
              </w:rPr>
            </w:pPr>
            <w:r>
              <w:rPr>
                <w:rFonts w:ascii="Times New Roman" w:hAnsi="Times New Roman" w:eastAsia="宋体" w:cs="Times New Roman"/>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highlight w:val="none"/>
              </w:rPr>
            </w:pPr>
            <w:r>
              <w:rPr>
                <w:rFonts w:ascii="Times New Roman" w:hAnsi="Times New Roman" w:eastAsia="宋体" w:cs="Times New Roman"/>
                <w:highlight w:val="none"/>
              </w:rPr>
              <w:t>（1）报价未超过询比文件设定的最高限价。</w:t>
            </w:r>
          </w:p>
          <w:p>
            <w:pPr>
              <w:widowControl/>
              <w:adjustRightInd w:val="0"/>
              <w:snapToGrid w:val="0"/>
              <w:spacing w:line="360" w:lineRule="atLeast"/>
              <w:jc w:val="left"/>
              <w:rPr>
                <w:rFonts w:ascii="Times New Roman" w:hAnsi="Times New Roman" w:eastAsia="宋体" w:cs="Times New Roman"/>
                <w:highlight w:val="none"/>
              </w:rPr>
            </w:pPr>
            <w:r>
              <w:rPr>
                <w:rFonts w:hint="eastAsia" w:ascii="Times New Roman" w:hAnsi="Times New Roman" w:eastAsia="宋体" w:cs="Times New Roman"/>
                <w:highlight w:val="none"/>
              </w:rPr>
              <w:t>（2）已标价的报价清单总报价和报价函的报价一致（四舍五入除外）。</w:t>
            </w:r>
          </w:p>
          <w:p>
            <w:pPr>
              <w:widowControl/>
              <w:adjustRightInd w:val="0"/>
              <w:snapToGrid w:val="0"/>
              <w:spacing w:line="360" w:lineRule="atLeast"/>
              <w:jc w:val="left"/>
              <w:rPr>
                <w:rFonts w:ascii="Times New Roman" w:hAnsi="Times New Roman" w:eastAsia="宋体" w:cs="Times New Roman"/>
                <w:highlight w:val="none"/>
              </w:rPr>
            </w:pPr>
            <w:r>
              <w:rPr>
                <w:rFonts w:ascii="Times New Roman" w:hAnsi="Times New Roman" w:eastAsia="宋体" w:cs="Times New Roman"/>
                <w:highlight w:val="none"/>
              </w:rPr>
              <w:t>（</w:t>
            </w:r>
            <w:r>
              <w:rPr>
                <w:rFonts w:hint="eastAsia" w:ascii="Times New Roman" w:hAnsi="Times New Roman" w:eastAsia="宋体" w:cs="Times New Roman"/>
                <w:highlight w:val="none"/>
              </w:rPr>
              <w:t>3</w:t>
            </w:r>
            <w:r>
              <w:rPr>
                <w:rFonts w:ascii="Times New Roman" w:hAnsi="Times New Roman" w:eastAsia="宋体" w:cs="Times New Roman"/>
                <w:highlight w:val="none"/>
              </w:rPr>
              <w:t>）报价的大写数值能确定具体数值，未出现数量级错误、报价金额单位错误。</w:t>
            </w:r>
          </w:p>
          <w:p>
            <w:pPr>
              <w:widowControl/>
              <w:adjustRightInd w:val="0"/>
              <w:snapToGrid w:val="0"/>
              <w:spacing w:line="360" w:lineRule="atLeast"/>
              <w:jc w:val="left"/>
              <w:rPr>
                <w:rFonts w:ascii="Times New Roman" w:hAnsi="Times New Roman" w:eastAsia="宋体" w:cs="Times New Roman"/>
                <w:highlight w:val="none"/>
              </w:rPr>
            </w:pPr>
            <w:r>
              <w:rPr>
                <w:rFonts w:ascii="Times New Roman" w:hAnsi="Times New Roman" w:eastAsia="宋体" w:cs="Times New Roman"/>
                <w:highlight w:val="none"/>
              </w:rPr>
              <w:t>（</w:t>
            </w:r>
            <w:r>
              <w:rPr>
                <w:rFonts w:hint="eastAsia" w:ascii="Times New Roman" w:hAnsi="Times New Roman" w:eastAsia="宋体" w:cs="Times New Roman"/>
                <w:highlight w:val="none"/>
              </w:rPr>
              <w:t>4</w:t>
            </w:r>
            <w:r>
              <w:rPr>
                <w:rFonts w:ascii="Times New Roman" w:hAnsi="Times New Roman" w:eastAsia="宋体" w:cs="Times New Roman"/>
                <w:highlight w:val="none"/>
              </w:rPr>
              <w:t>）同一供应商未递交两个以上不同的报价。</w:t>
            </w:r>
          </w:p>
          <w:p>
            <w:pPr>
              <w:widowControl/>
              <w:adjustRightInd w:val="0"/>
              <w:snapToGrid w:val="0"/>
              <w:spacing w:line="360" w:lineRule="atLeast"/>
              <w:jc w:val="left"/>
              <w:rPr>
                <w:rFonts w:ascii="Times New Roman" w:hAnsi="Times New Roman" w:eastAsia="宋体" w:cs="Times New Roman"/>
                <w:highlight w:val="none"/>
              </w:rPr>
            </w:pPr>
            <w:r>
              <w:rPr>
                <w:rFonts w:ascii="Times New Roman" w:hAnsi="Times New Roman" w:eastAsia="宋体" w:cs="Times New Roman"/>
                <w:highlight w:val="none"/>
              </w:rPr>
              <w:t>（</w:t>
            </w:r>
            <w:r>
              <w:rPr>
                <w:rFonts w:hint="eastAsia" w:ascii="Times New Roman" w:hAnsi="Times New Roman" w:eastAsia="宋体" w:cs="Times New Roman"/>
                <w:highlight w:val="none"/>
              </w:rPr>
              <w:t>5</w:t>
            </w:r>
            <w:r>
              <w:rPr>
                <w:rFonts w:ascii="Times New Roman" w:hAnsi="Times New Roman" w:eastAsia="宋体" w:cs="Times New Roman"/>
                <w:highlight w:val="none"/>
              </w:rPr>
              <w:t>）供应商</w:t>
            </w:r>
            <w:r>
              <w:rPr>
                <w:rFonts w:hint="eastAsia" w:ascii="Times New Roman" w:hAnsi="Times New Roman" w:eastAsia="宋体" w:cs="Times New Roman"/>
                <w:highlight w:val="none"/>
              </w:rPr>
              <w:t>按</w:t>
            </w:r>
            <w:r>
              <w:rPr>
                <w:rFonts w:ascii="Times New Roman" w:hAnsi="Times New Roman" w:eastAsia="宋体" w:cs="Times New Roman"/>
                <w:highlight w:val="none"/>
              </w:rPr>
              <w:t>采购人提供的书面</w:t>
            </w:r>
            <w:r>
              <w:rPr>
                <w:rFonts w:hint="eastAsia" w:ascii="Times New Roman" w:hAnsi="Times New Roman" w:eastAsia="宋体" w:cs="Times New Roman"/>
                <w:highlight w:val="none"/>
              </w:rPr>
              <w:t>报价清单填写了报价，且未修改报价清单说明、数量等实质性内容</w:t>
            </w:r>
            <w:r>
              <w:rPr>
                <w:rFonts w:ascii="Times New Roman" w:hAnsi="Times New Roman" w:eastAsia="宋体" w:cs="Times New Roman"/>
                <w:highlight w:val="none"/>
              </w:rPr>
              <w:t>。</w:t>
            </w:r>
          </w:p>
          <w:p>
            <w:pPr>
              <w:widowControl/>
              <w:adjustRightInd w:val="0"/>
              <w:snapToGrid w:val="0"/>
              <w:spacing w:line="360" w:lineRule="atLeast"/>
              <w:jc w:val="left"/>
              <w:rPr>
                <w:rFonts w:ascii="Times New Roman" w:hAnsi="Times New Roman" w:eastAsia="宋体" w:cs="Times New Roman"/>
                <w:highlight w:val="none"/>
              </w:rPr>
            </w:pPr>
            <w:r>
              <w:rPr>
                <w:rFonts w:ascii="Times New Roman" w:hAnsi="Times New Roman" w:eastAsia="宋体" w:cs="Times New Roman"/>
                <w:highlight w:val="none"/>
              </w:rPr>
              <w:t>（</w:t>
            </w:r>
            <w:r>
              <w:rPr>
                <w:rFonts w:hint="eastAsia" w:ascii="Times New Roman" w:hAnsi="Times New Roman" w:eastAsia="宋体" w:cs="Times New Roman"/>
                <w:highlight w:val="none"/>
              </w:rPr>
              <w:t>6</w:t>
            </w:r>
            <w:r>
              <w:rPr>
                <w:rFonts w:ascii="Times New Roman" w:hAnsi="Times New Roman" w:eastAsia="宋体" w:cs="Times New Roman"/>
                <w:highlight w:val="none"/>
              </w:rPr>
              <w:t>）已标价</w:t>
            </w:r>
            <w:r>
              <w:rPr>
                <w:rFonts w:hint="eastAsia" w:ascii="Times New Roman" w:hAnsi="Times New Roman" w:eastAsia="宋体" w:cs="Times New Roman"/>
                <w:kern w:val="0"/>
                <w:szCs w:val="21"/>
                <w:highlight w:val="none"/>
              </w:rPr>
              <w:t>报价清单</w:t>
            </w:r>
            <w:r>
              <w:rPr>
                <w:rFonts w:ascii="Times New Roman" w:hAnsi="Times New Roman" w:eastAsia="宋体" w:cs="Times New Roman"/>
                <w:kern w:val="0"/>
                <w:szCs w:val="21"/>
                <w:highlight w:val="none"/>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highlight w:val="none"/>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highlight w:val="none"/>
              </w:rPr>
            </w:pPr>
            <w:r>
              <w:rPr>
                <w:rFonts w:ascii="Times New Roman" w:hAnsi="Times New Roman" w:eastAsia="宋体" w:cs="Times New Roman"/>
                <w:kern w:val="0"/>
                <w:szCs w:val="21"/>
                <w:highlight w:val="none"/>
              </w:rPr>
              <w:t>符合询比文件的其他实质性要求和条件</w:t>
            </w:r>
          </w:p>
        </w:tc>
      </w:tr>
    </w:tbl>
    <w:p>
      <w:pPr>
        <w:widowControl/>
        <w:spacing w:line="360" w:lineRule="atLeast"/>
        <w:jc w:val="center"/>
        <w:rPr>
          <w:rFonts w:ascii="Times New Roman" w:hAnsi="Times New Roman" w:eastAsia="宋体" w:cs="Times New Roman"/>
          <w:highlight w:val="none"/>
        </w:rPr>
      </w:pPr>
    </w:p>
    <w:tbl>
      <w:tblPr>
        <w:tblStyle w:val="14"/>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
                <w:bCs/>
                <w:kern w:val="0"/>
                <w:szCs w:val="21"/>
                <w:highlight w:val="none"/>
              </w:rPr>
            </w:pPr>
            <w:r>
              <w:rPr>
                <w:rFonts w:ascii="Times New Roman" w:hAnsi="Times New Roman" w:eastAsia="宋体" w:cs="Times New Roman"/>
                <w:b/>
                <w:bCs/>
                <w:kern w:val="0"/>
                <w:szCs w:val="21"/>
                <w:highlight w:val="none"/>
              </w:rPr>
              <w:t>条款号</w:t>
            </w:r>
          </w:p>
        </w:tc>
        <w:tc>
          <w:tcPr>
            <w:tcW w:w="1276" w:type="dxa"/>
            <w:tcMar>
              <w:left w:w="75" w:type="dxa"/>
            </w:tcMar>
            <w:vAlign w:val="center"/>
          </w:tcPr>
          <w:p>
            <w:pPr>
              <w:snapToGrid w:val="0"/>
              <w:jc w:val="center"/>
              <w:rPr>
                <w:rFonts w:ascii="Times New Roman" w:hAnsi="Times New Roman" w:eastAsia="宋体" w:cs="Times New Roman"/>
                <w:b/>
                <w:bCs/>
                <w:kern w:val="0"/>
                <w:szCs w:val="21"/>
                <w:highlight w:val="none"/>
              </w:rPr>
            </w:pPr>
            <w:r>
              <w:rPr>
                <w:rFonts w:ascii="Times New Roman" w:hAnsi="Times New Roman" w:eastAsia="宋体" w:cs="Times New Roman"/>
                <w:b/>
                <w:bCs/>
                <w:kern w:val="0"/>
                <w:szCs w:val="21"/>
                <w:highlight w:val="none"/>
              </w:rPr>
              <w:t>条款内容</w:t>
            </w:r>
          </w:p>
        </w:tc>
        <w:tc>
          <w:tcPr>
            <w:tcW w:w="6232" w:type="dxa"/>
            <w:vAlign w:val="center"/>
          </w:tcPr>
          <w:p>
            <w:pPr>
              <w:widowControl/>
              <w:snapToGrid w:val="0"/>
              <w:jc w:val="center"/>
              <w:rPr>
                <w:rFonts w:ascii="Times New Roman" w:hAnsi="Times New Roman" w:eastAsia="宋体" w:cs="Times New Roman"/>
                <w:b/>
                <w:bCs/>
                <w:kern w:val="0"/>
                <w:szCs w:val="21"/>
                <w:highlight w:val="none"/>
              </w:rPr>
            </w:pPr>
            <w:r>
              <w:rPr>
                <w:rFonts w:ascii="Times New Roman" w:hAnsi="Times New Roman" w:eastAsia="宋体" w:cs="Times New Roman"/>
                <w:b/>
                <w:bCs/>
                <w:kern w:val="0"/>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Cs/>
                <w:kern w:val="0"/>
                <w:szCs w:val="21"/>
                <w:highlight w:val="none"/>
              </w:rPr>
            </w:pPr>
            <w:r>
              <w:rPr>
                <w:rFonts w:ascii="Times New Roman" w:hAnsi="Times New Roman" w:eastAsia="宋体" w:cs="Times New Roman"/>
                <w:bCs/>
                <w:kern w:val="0"/>
                <w:szCs w:val="21"/>
                <w:highlight w:val="none"/>
              </w:rPr>
              <w:t>2.2.1</w:t>
            </w:r>
          </w:p>
        </w:tc>
        <w:tc>
          <w:tcPr>
            <w:tcW w:w="1276" w:type="dxa"/>
            <w:tcMar>
              <w:left w:w="75" w:type="dxa"/>
            </w:tcMar>
            <w:vAlign w:val="center"/>
          </w:tcPr>
          <w:p>
            <w:pPr>
              <w:snapToGrid w:val="0"/>
              <w:jc w:val="left"/>
              <w:rPr>
                <w:rFonts w:ascii="Times New Roman" w:hAnsi="Times New Roman" w:eastAsia="宋体" w:cs="Times New Roman"/>
                <w:bCs/>
                <w:kern w:val="0"/>
                <w:szCs w:val="21"/>
                <w:highlight w:val="none"/>
              </w:rPr>
            </w:pPr>
            <w:r>
              <w:rPr>
                <w:rFonts w:ascii="Times New Roman" w:hAnsi="Times New Roman" w:eastAsia="宋体" w:cs="Times New Roman"/>
                <w:szCs w:val="21"/>
                <w:highlight w:val="none"/>
              </w:rPr>
              <w:t>分值构成（100分）</w:t>
            </w:r>
          </w:p>
        </w:tc>
        <w:tc>
          <w:tcPr>
            <w:tcW w:w="6232" w:type="dxa"/>
            <w:vAlign w:val="center"/>
          </w:tcPr>
          <w:p>
            <w:pPr>
              <w:spacing w:line="360" w:lineRule="atLeast"/>
              <w:ind w:firstLine="420"/>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技术性能</w:t>
            </w:r>
            <w:r>
              <w:rPr>
                <w:rFonts w:ascii="Times New Roman" w:hAnsi="Times New Roman" w:eastAsia="宋体" w:cs="Times New Roman"/>
                <w:szCs w:val="21"/>
                <w:highlight w:val="none"/>
              </w:rPr>
              <w:t>：</w:t>
            </w:r>
            <w:r>
              <w:rPr>
                <w:rFonts w:hint="eastAsia" w:ascii="Times New Roman" w:hAnsi="Times New Roman" w:eastAsia="宋体" w:cs="Times New Roman"/>
                <w:szCs w:val="21"/>
                <w:highlight w:val="none"/>
                <w:u w:val="single"/>
                <w:lang w:val="en-US" w:eastAsia="zh-CN"/>
              </w:rPr>
              <w:t>7</w:t>
            </w:r>
            <w:r>
              <w:rPr>
                <w:rFonts w:ascii="Times New Roman" w:hAnsi="Times New Roman" w:eastAsia="宋体" w:cs="Times New Roman"/>
                <w:szCs w:val="21"/>
                <w:highlight w:val="none"/>
                <w:u w:val="single"/>
              </w:rPr>
              <w:t>0</w:t>
            </w:r>
            <w:r>
              <w:rPr>
                <w:rFonts w:ascii="Times New Roman" w:hAnsi="Times New Roman" w:eastAsia="宋体" w:cs="Times New Roman"/>
                <w:szCs w:val="21"/>
                <w:highlight w:val="none"/>
              </w:rPr>
              <w:t>分</w:t>
            </w:r>
          </w:p>
          <w:p>
            <w:pPr>
              <w:spacing w:line="360" w:lineRule="atLeast"/>
              <w:ind w:firstLine="420"/>
              <w:rPr>
                <w:rFonts w:ascii="Times New Roman" w:hAnsi="Times New Roman" w:eastAsia="宋体" w:cs="Times New Roman"/>
                <w:kern w:val="0"/>
                <w:szCs w:val="21"/>
                <w:highlight w:val="none"/>
              </w:rPr>
            </w:pPr>
            <w:r>
              <w:rPr>
                <w:rFonts w:ascii="Times New Roman" w:hAnsi="Times New Roman" w:eastAsia="宋体" w:cs="Times New Roman"/>
                <w:szCs w:val="21"/>
                <w:highlight w:val="none"/>
              </w:rPr>
              <w:t>评审价：</w:t>
            </w:r>
            <w:r>
              <w:rPr>
                <w:rFonts w:hint="eastAsia" w:ascii="Times New Roman" w:hAnsi="Times New Roman" w:eastAsia="宋体" w:cs="Times New Roman"/>
                <w:szCs w:val="21"/>
                <w:highlight w:val="none"/>
                <w:u w:val="single"/>
                <w:lang w:val="en-US" w:eastAsia="zh-CN"/>
              </w:rPr>
              <w:t>3</w:t>
            </w:r>
            <w:r>
              <w:rPr>
                <w:rFonts w:hint="eastAsia" w:ascii="Times New Roman" w:hAnsi="Times New Roman" w:eastAsia="宋体" w:cs="Times New Roman"/>
                <w:szCs w:val="21"/>
                <w:highlight w:val="none"/>
                <w:u w:val="single"/>
              </w:rPr>
              <w:t>0</w:t>
            </w:r>
            <w:r>
              <w:rPr>
                <w:rFonts w:ascii="Times New Roman" w:hAnsi="Times New Roman" w:eastAsia="宋体" w:cs="Times New Roman"/>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90" w:hRule="atLeast"/>
          <w:jc w:val="center"/>
        </w:trPr>
        <w:tc>
          <w:tcPr>
            <w:tcW w:w="169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highlight w:val="none"/>
              </w:rPr>
            </w:pPr>
            <w:r>
              <w:rPr>
                <w:rFonts w:ascii="Times New Roman" w:hAnsi="Times New Roman" w:eastAsia="宋体" w:cs="Times New Roman"/>
                <w:szCs w:val="21"/>
                <w:highlight w:val="none"/>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highlight w:val="none"/>
              </w:rPr>
            </w:pPr>
            <w:r>
              <w:rPr>
                <w:rFonts w:ascii="Times New Roman" w:hAnsi="Times New Roman" w:eastAsia="宋体" w:cs="Times New Roman"/>
                <w:szCs w:val="21"/>
                <w:highlight w:val="none"/>
              </w:rPr>
              <w:t>评审基准价计算方法</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highlight w:val="none"/>
              </w:rPr>
            </w:pPr>
            <w:r>
              <w:rPr>
                <w:rFonts w:ascii="Times New Roman" w:hAnsi="Times New Roman" w:eastAsia="宋体" w:cs="Times New Roman"/>
                <w:szCs w:val="21"/>
                <w:highlight w:val="none"/>
              </w:rPr>
              <w:t>评审基准价的计算：</w:t>
            </w:r>
          </w:p>
          <w:p>
            <w:pPr>
              <w:spacing w:line="360" w:lineRule="atLeast"/>
              <w:ind w:firstLine="420"/>
              <w:rPr>
                <w:rFonts w:ascii="Times New Roman" w:hAnsi="Times New Roman" w:eastAsia="宋体" w:cs="Times New Roman"/>
                <w:szCs w:val="21"/>
                <w:highlight w:val="none"/>
              </w:rPr>
            </w:pPr>
            <w:r>
              <w:rPr>
                <w:rFonts w:ascii="Times New Roman" w:hAnsi="Times New Roman" w:eastAsia="宋体" w:cs="Times New Roman"/>
                <w:szCs w:val="21"/>
                <w:highlight w:val="none"/>
              </w:rPr>
              <w:t>在启封现场，采购人将当场计算并宣布评审基准价。</w:t>
            </w:r>
          </w:p>
          <w:p>
            <w:pPr>
              <w:spacing w:line="360" w:lineRule="atLeast"/>
              <w:ind w:firstLine="420"/>
              <w:rPr>
                <w:rFonts w:ascii="Times New Roman" w:hAnsi="Times New Roman" w:eastAsia="宋体" w:cs="Times New Roman"/>
                <w:szCs w:val="21"/>
                <w:highlight w:val="none"/>
              </w:rPr>
            </w:pPr>
            <w:r>
              <w:rPr>
                <w:rFonts w:ascii="Times New Roman" w:hAnsi="Times New Roman" w:eastAsia="宋体" w:cs="Times New Roman"/>
                <w:szCs w:val="21"/>
                <w:highlight w:val="none"/>
              </w:rPr>
              <w:t>（1）评审价的确定：</w:t>
            </w:r>
          </w:p>
          <w:p>
            <w:pPr>
              <w:spacing w:line="360" w:lineRule="atLeast"/>
              <w:ind w:firstLine="420"/>
              <w:rPr>
                <w:rFonts w:ascii="Times New Roman" w:hAnsi="Times New Roman" w:eastAsia="宋体" w:cs="Times New Roman"/>
                <w:szCs w:val="21"/>
                <w:highlight w:val="none"/>
              </w:rPr>
            </w:pPr>
            <w:r>
              <w:rPr>
                <w:rFonts w:ascii="Times New Roman" w:hAnsi="Times New Roman" w:eastAsia="宋体" w:cs="Times New Roman"/>
                <w:szCs w:val="21"/>
                <w:highlight w:val="none"/>
              </w:rPr>
              <w:t>评审价＝报价函文字报价</w:t>
            </w:r>
            <w:r>
              <w:rPr>
                <w:rFonts w:hint="eastAsia" w:ascii="Times New Roman" w:hAnsi="Times New Roman" w:eastAsia="宋体" w:cs="Times New Roman"/>
                <w:szCs w:val="21"/>
                <w:highlight w:val="none"/>
              </w:rPr>
              <w:t>（大小写不一致时以大写为准）</w:t>
            </w:r>
          </w:p>
          <w:p>
            <w:pPr>
              <w:spacing w:line="360" w:lineRule="atLeast"/>
              <w:ind w:firstLine="420"/>
              <w:rPr>
                <w:rFonts w:ascii="Times New Roman" w:hAnsi="Times New Roman" w:eastAsia="宋体" w:cs="Times New Roman"/>
                <w:szCs w:val="21"/>
                <w:highlight w:val="none"/>
              </w:rPr>
            </w:pPr>
            <w:r>
              <w:rPr>
                <w:rFonts w:ascii="Times New Roman" w:hAnsi="Times New Roman" w:eastAsia="宋体" w:cs="Times New Roman"/>
                <w:szCs w:val="21"/>
                <w:highlight w:val="none"/>
              </w:rPr>
              <w:t>（2）评审价平均值的计算：</w:t>
            </w:r>
          </w:p>
          <w:p>
            <w:pPr>
              <w:spacing w:line="360" w:lineRule="atLeast"/>
              <w:ind w:firstLine="420"/>
              <w:rPr>
                <w:rFonts w:ascii="Times New Roman" w:hAnsi="Times New Roman" w:eastAsia="宋体" w:cs="Times New Roman"/>
                <w:szCs w:val="21"/>
                <w:highlight w:val="none"/>
              </w:rPr>
            </w:pPr>
            <w:r>
              <w:rPr>
                <w:rFonts w:ascii="Times New Roman" w:hAnsi="Times New Roman" w:eastAsia="宋体" w:cs="Times New Roman"/>
                <w:szCs w:val="21"/>
                <w:highlight w:val="none"/>
              </w:rPr>
              <w:t>除按第二章“供应商须知”第5.2.2项规定启封过程中被宣布为不进入评审基准价计算的报价之外，所有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ind w:firstLine="420"/>
              <w:rPr>
                <w:rFonts w:ascii="Times New Roman" w:hAnsi="Times New Roman" w:eastAsia="宋体" w:cs="Times New Roman"/>
                <w:szCs w:val="21"/>
                <w:highlight w:val="none"/>
              </w:rPr>
            </w:pPr>
            <w:r>
              <w:rPr>
                <w:rFonts w:ascii="Times New Roman" w:hAnsi="Times New Roman" w:eastAsia="宋体" w:cs="Times New Roman"/>
                <w:szCs w:val="21"/>
                <w:highlight w:val="none"/>
              </w:rPr>
              <w:t>（3）评审基准价的确定：</w:t>
            </w:r>
          </w:p>
          <w:p>
            <w:pPr>
              <w:spacing w:line="360" w:lineRule="atLeast"/>
              <w:ind w:firstLine="420"/>
              <w:rPr>
                <w:rFonts w:ascii="Times New Roman" w:hAnsi="Times New Roman" w:eastAsia="宋体" w:cs="Times New Roman"/>
                <w:szCs w:val="21"/>
                <w:highlight w:val="none"/>
              </w:rPr>
            </w:pPr>
            <w:r>
              <w:rPr>
                <w:rFonts w:ascii="Times New Roman" w:hAnsi="Times New Roman" w:eastAsia="宋体" w:cs="Times New Roman"/>
                <w:szCs w:val="21"/>
                <w:highlight w:val="none"/>
              </w:rPr>
              <w:t>将</w:t>
            </w:r>
            <w:r>
              <w:rPr>
                <w:rFonts w:hint="eastAsia" w:ascii="Times New Roman" w:hAnsi="Times New Roman" w:eastAsia="宋体" w:cs="Times New Roman"/>
                <w:szCs w:val="21"/>
                <w:highlight w:val="none"/>
              </w:rPr>
              <w:t>通过初步评审的有效的</w:t>
            </w:r>
            <w:r>
              <w:rPr>
                <w:rFonts w:hint="eastAsia" w:ascii="Times New Roman" w:hAnsi="Times New Roman" w:eastAsia="宋体" w:cs="Times New Roman"/>
                <w:szCs w:val="21"/>
                <w:highlight w:val="none"/>
                <w:lang w:val="en-US" w:eastAsia="zh-CN"/>
              </w:rPr>
              <w:t>最低响应</w:t>
            </w:r>
            <w:r>
              <w:rPr>
                <w:rFonts w:hint="eastAsia" w:ascii="Times New Roman" w:hAnsi="Times New Roman" w:eastAsia="宋体" w:cs="Times New Roman"/>
                <w:szCs w:val="21"/>
                <w:highlight w:val="none"/>
              </w:rPr>
              <w:t>报价</w:t>
            </w:r>
            <w:r>
              <w:rPr>
                <w:rFonts w:ascii="Times New Roman" w:hAnsi="Times New Roman" w:eastAsia="宋体" w:cs="Times New Roman"/>
                <w:szCs w:val="21"/>
                <w:highlight w:val="none"/>
              </w:rPr>
              <w:t>直接作为评审基准价。</w:t>
            </w:r>
          </w:p>
          <w:p>
            <w:pPr>
              <w:spacing w:line="360" w:lineRule="atLeast"/>
              <w:ind w:firstLine="420"/>
              <w:rPr>
                <w:rFonts w:ascii="Times New Roman" w:hAnsi="Times New Roman" w:eastAsia="宋体" w:cs="Times New Roman"/>
                <w:szCs w:val="21"/>
                <w:highlight w:val="none"/>
              </w:rPr>
            </w:pPr>
            <w:r>
              <w:rPr>
                <w:rFonts w:ascii="Times New Roman" w:hAnsi="Times New Roman" w:eastAsia="宋体" w:cs="Times New Roman"/>
                <w:szCs w:val="21"/>
                <w:highlight w:val="none"/>
              </w:rPr>
              <w:t>在评审过程中，</w:t>
            </w:r>
            <w:r>
              <w:rPr>
                <w:rFonts w:hint="eastAsia" w:ascii="Times New Roman" w:hAnsi="Times New Roman" w:eastAsia="宋体" w:cs="Times New Roman"/>
                <w:szCs w:val="21"/>
                <w:highlight w:val="none"/>
              </w:rPr>
              <w:t>评审小组</w:t>
            </w:r>
            <w:r>
              <w:rPr>
                <w:rFonts w:ascii="Times New Roman" w:hAnsi="Times New Roman" w:eastAsia="宋体" w:cs="Times New Roman"/>
                <w:szCs w:val="21"/>
                <w:highlight w:val="none"/>
              </w:rPr>
              <w:t>应对采购人计算的评审基准价进行复核，存在计算错误的应予以修正并在评审报告中作出说明。除此之外，评审基准价在整个评审期间保持不变，不随任何因素发生变化。</w:t>
            </w:r>
          </w:p>
        </w:tc>
      </w:tr>
    </w:tbl>
    <w:p>
      <w:pPr>
        <w:jc w:val="right"/>
        <w:rPr>
          <w:rFonts w:ascii="Times New Roman" w:hAnsi="Times New Roman" w:eastAsia="宋体" w:cs="Times New Roman"/>
          <w:spacing w:val="4"/>
          <w:szCs w:val="21"/>
          <w:highlight w:val="none"/>
        </w:rPr>
      </w:pPr>
    </w:p>
    <w:p>
      <w:pPr>
        <w:jc w:val="left"/>
        <w:rPr>
          <w:rFonts w:ascii="Times New Roman" w:hAnsi="Times New Roman" w:eastAsia="宋体" w:cs="Times New Roman"/>
          <w:spacing w:val="4"/>
          <w:szCs w:val="21"/>
          <w:highlight w:val="none"/>
        </w:rPr>
      </w:pPr>
      <w:r>
        <w:rPr>
          <w:rFonts w:ascii="Times New Roman" w:hAnsi="Times New Roman" w:eastAsia="宋体" w:cs="Times New Roman"/>
          <w:spacing w:val="4"/>
          <w:szCs w:val="21"/>
          <w:highlight w:val="none"/>
        </w:rPr>
        <w:br w:type="page"/>
      </w:r>
    </w:p>
    <w:p>
      <w:pPr>
        <w:jc w:val="right"/>
        <w:rPr>
          <w:rFonts w:ascii="Times New Roman" w:hAnsi="Times New Roman" w:eastAsia="宋体" w:cs="Times New Roman"/>
          <w:highlight w:val="none"/>
        </w:rPr>
      </w:pPr>
      <w:r>
        <w:rPr>
          <w:rFonts w:ascii="Times New Roman" w:hAnsi="Times New Roman" w:eastAsia="宋体" w:cs="Times New Roman"/>
          <w:spacing w:val="4"/>
          <w:szCs w:val="21"/>
          <w:highlight w:val="none"/>
        </w:rPr>
        <w:t>续上表</w:t>
      </w:r>
    </w:p>
    <w:p>
      <w:pPr>
        <w:keepNext/>
        <w:keepLines/>
        <w:pageBreakBefore w:val="0"/>
        <w:kinsoku/>
        <w:wordWrap/>
        <w:overflowPunct/>
        <w:topLinePunct w:val="0"/>
        <w:bidi w:val="0"/>
        <w:spacing w:before="120" w:after="120" w:line="400" w:lineRule="exact"/>
        <w:jc w:val="center"/>
        <w:textAlignment w:val="auto"/>
        <w:outlineLvl w:val="2"/>
        <w:rPr>
          <w:rFonts w:eastAsia="黑体"/>
          <w:sz w:val="24"/>
          <w:highlight w:val="none"/>
        </w:rPr>
      </w:pPr>
      <w:r>
        <w:rPr>
          <w:rFonts w:hint="eastAsia" w:eastAsia="黑体"/>
          <w:bCs/>
          <w:sz w:val="24"/>
          <w:highlight w:val="none"/>
        </w:rPr>
        <w:t>技术及报价详细评审标准</w:t>
      </w:r>
    </w:p>
    <w:p>
      <w:pPr>
        <w:widowControl/>
        <w:kinsoku w:val="0"/>
        <w:autoSpaceDE w:val="0"/>
        <w:autoSpaceDN w:val="0"/>
        <w:adjustRightInd w:val="0"/>
        <w:snapToGrid w:val="0"/>
        <w:spacing w:line="147" w:lineRule="exact"/>
        <w:jc w:val="left"/>
        <w:textAlignment w:val="baseline"/>
        <w:rPr>
          <w:rFonts w:hint="default" w:ascii="Times New Roman" w:hAnsi="Times New Roman" w:eastAsia="宋体" w:cs="Times New Roman"/>
          <w:snapToGrid w:val="0"/>
          <w:color w:val="000000"/>
          <w:kern w:val="0"/>
          <w:szCs w:val="21"/>
          <w:highlight w:val="none"/>
        </w:rPr>
      </w:pPr>
    </w:p>
    <w:tbl>
      <w:tblPr>
        <w:tblStyle w:val="40"/>
        <w:tblW w:w="9945" w:type="dxa"/>
        <w:tblInd w:w="1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70"/>
        <w:gridCol w:w="1680"/>
        <w:gridCol w:w="709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 w:hRule="atLeast"/>
        </w:trPr>
        <w:tc>
          <w:tcPr>
            <w:tcW w:w="1170" w:type="dxa"/>
            <w:noWrap w:val="0"/>
            <w:vAlign w:val="center"/>
          </w:tcPr>
          <w:p>
            <w:pPr>
              <w:widowControl/>
              <w:kinsoku w:val="0"/>
              <w:autoSpaceDE w:val="0"/>
              <w:autoSpaceDN w:val="0"/>
              <w:adjustRightInd w:val="0"/>
              <w:snapToGrid w:val="0"/>
              <w:spacing w:before="154" w:line="227" w:lineRule="auto"/>
              <w:ind w:left="-2"/>
              <w:jc w:val="center"/>
              <w:textAlignment w:val="baseline"/>
              <w:rPr>
                <w:rFonts w:hint="default" w:ascii="Times New Roman" w:hAnsi="Times New Roman" w:eastAsia="宋体" w:cs="Times New Roman"/>
                <w:b/>
                <w:bCs/>
                <w:snapToGrid w:val="0"/>
                <w:color w:val="000000"/>
                <w:kern w:val="0"/>
                <w:szCs w:val="21"/>
                <w:highlight w:val="none"/>
              </w:rPr>
            </w:pPr>
            <w:r>
              <w:rPr>
                <w:rFonts w:hint="default" w:ascii="Times New Roman" w:hAnsi="Times New Roman" w:eastAsia="宋体" w:cs="Times New Roman"/>
                <w:b/>
                <w:bCs/>
                <w:snapToGrid w:val="0"/>
                <w:color w:val="000000"/>
                <w:spacing w:val="5"/>
                <w:kern w:val="0"/>
                <w:szCs w:val="21"/>
                <w:highlight w:val="none"/>
              </w:rPr>
              <w:t>类别</w:t>
            </w:r>
          </w:p>
        </w:tc>
        <w:tc>
          <w:tcPr>
            <w:tcW w:w="1680" w:type="dxa"/>
            <w:noWrap w:val="0"/>
            <w:vAlign w:val="center"/>
          </w:tcPr>
          <w:p>
            <w:pPr>
              <w:widowControl/>
              <w:kinsoku w:val="0"/>
              <w:autoSpaceDE w:val="0"/>
              <w:autoSpaceDN w:val="0"/>
              <w:adjustRightInd w:val="0"/>
              <w:snapToGrid w:val="0"/>
              <w:spacing w:before="166" w:line="227" w:lineRule="auto"/>
              <w:jc w:val="center"/>
              <w:textAlignment w:val="baseline"/>
              <w:rPr>
                <w:rFonts w:hint="default" w:ascii="Times New Roman" w:hAnsi="Times New Roman" w:eastAsia="宋体" w:cs="Times New Roman"/>
                <w:b/>
                <w:bCs/>
                <w:snapToGrid w:val="0"/>
                <w:color w:val="000000"/>
                <w:kern w:val="0"/>
                <w:szCs w:val="21"/>
                <w:highlight w:val="none"/>
              </w:rPr>
            </w:pPr>
            <w:r>
              <w:rPr>
                <w:rFonts w:hint="default" w:ascii="Times New Roman" w:hAnsi="Times New Roman" w:eastAsia="宋体" w:cs="Times New Roman"/>
                <w:b/>
                <w:bCs/>
                <w:snapToGrid w:val="0"/>
                <w:color w:val="000000"/>
                <w:spacing w:val="12"/>
                <w:kern w:val="0"/>
                <w:szCs w:val="21"/>
                <w:highlight w:val="none"/>
              </w:rPr>
              <w:t>评</w:t>
            </w:r>
            <w:r>
              <w:rPr>
                <w:rFonts w:hint="default" w:ascii="Times New Roman" w:hAnsi="Times New Roman" w:eastAsia="宋体" w:cs="Times New Roman"/>
                <w:b/>
                <w:bCs/>
                <w:snapToGrid w:val="0"/>
                <w:color w:val="000000"/>
                <w:spacing w:val="9"/>
                <w:kern w:val="0"/>
                <w:szCs w:val="21"/>
                <w:highlight w:val="none"/>
              </w:rPr>
              <w:t>分因素及分值</w:t>
            </w:r>
          </w:p>
        </w:tc>
        <w:tc>
          <w:tcPr>
            <w:tcW w:w="7095" w:type="dxa"/>
            <w:noWrap w:val="0"/>
            <w:vAlign w:val="center"/>
          </w:tcPr>
          <w:p>
            <w:pPr>
              <w:widowControl/>
              <w:kinsoku w:val="0"/>
              <w:autoSpaceDE w:val="0"/>
              <w:autoSpaceDN w:val="0"/>
              <w:adjustRightInd w:val="0"/>
              <w:snapToGrid w:val="0"/>
              <w:spacing w:before="154" w:line="226" w:lineRule="auto"/>
              <w:ind w:right="540" w:rightChars="257"/>
              <w:jc w:val="center"/>
              <w:textAlignment w:val="baseline"/>
              <w:rPr>
                <w:rFonts w:hint="default" w:ascii="Times New Roman" w:hAnsi="Times New Roman" w:eastAsia="宋体" w:cs="Times New Roman"/>
                <w:b/>
                <w:bCs/>
                <w:snapToGrid w:val="0"/>
                <w:color w:val="000000"/>
                <w:kern w:val="0"/>
                <w:szCs w:val="21"/>
                <w:highlight w:val="none"/>
              </w:rPr>
            </w:pPr>
            <w:r>
              <w:rPr>
                <w:rFonts w:hint="default" w:ascii="Times New Roman" w:hAnsi="Times New Roman" w:eastAsia="宋体" w:cs="Times New Roman"/>
                <w:b/>
                <w:bCs/>
                <w:snapToGrid w:val="0"/>
                <w:color w:val="000000"/>
                <w:spacing w:val="9"/>
                <w:kern w:val="0"/>
                <w:szCs w:val="21"/>
                <w:highlight w:val="none"/>
              </w:rPr>
              <w:t>评</w:t>
            </w:r>
            <w:r>
              <w:rPr>
                <w:rFonts w:hint="default" w:ascii="Times New Roman" w:hAnsi="Times New Roman" w:eastAsia="宋体" w:cs="Times New Roman"/>
                <w:b/>
                <w:bCs/>
                <w:snapToGrid w:val="0"/>
                <w:color w:val="000000"/>
                <w:spacing w:val="8"/>
                <w:kern w:val="0"/>
                <w:szCs w:val="21"/>
                <w:highlight w:val="none"/>
              </w:rPr>
              <w:t>价标准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9" w:hRule="atLeast"/>
        </w:trPr>
        <w:tc>
          <w:tcPr>
            <w:tcW w:w="1170" w:type="dxa"/>
            <w:vMerge w:val="restart"/>
            <w:noWrap w:val="0"/>
            <w:vAlign w:val="center"/>
          </w:tcPr>
          <w:p>
            <w:pPr>
              <w:pageBreakBefore w:val="0"/>
              <w:widowControl/>
              <w:kinsoku/>
              <w:wordWrap/>
              <w:overflowPunct/>
              <w:topLinePunct w:val="0"/>
              <w:bidi w:val="0"/>
              <w:spacing w:line="400" w:lineRule="exact"/>
              <w:jc w:val="left"/>
              <w:textAlignment w:val="auto"/>
              <w:rPr>
                <w:rFonts w:hint="default"/>
                <w:kern w:val="0"/>
                <w:szCs w:val="21"/>
                <w:highlight w:val="none"/>
              </w:rPr>
            </w:pPr>
          </w:p>
          <w:p>
            <w:pPr>
              <w:pageBreakBefore w:val="0"/>
              <w:widowControl/>
              <w:kinsoku/>
              <w:wordWrap/>
              <w:overflowPunct/>
              <w:topLinePunct w:val="0"/>
              <w:bidi w:val="0"/>
              <w:spacing w:line="400" w:lineRule="exact"/>
              <w:jc w:val="left"/>
              <w:textAlignment w:val="auto"/>
              <w:rPr>
                <w:rFonts w:hint="default"/>
                <w:kern w:val="0"/>
                <w:szCs w:val="21"/>
                <w:highlight w:val="none"/>
              </w:rPr>
            </w:pPr>
          </w:p>
          <w:p>
            <w:pPr>
              <w:pageBreakBefore w:val="0"/>
              <w:widowControl/>
              <w:kinsoku/>
              <w:wordWrap/>
              <w:overflowPunct/>
              <w:topLinePunct w:val="0"/>
              <w:bidi w:val="0"/>
              <w:spacing w:line="400" w:lineRule="exact"/>
              <w:jc w:val="left"/>
              <w:textAlignment w:val="auto"/>
              <w:rPr>
                <w:rFonts w:hint="default"/>
                <w:kern w:val="0"/>
                <w:szCs w:val="21"/>
                <w:highlight w:val="none"/>
              </w:rPr>
            </w:pPr>
          </w:p>
          <w:p>
            <w:pPr>
              <w:pageBreakBefore w:val="0"/>
              <w:widowControl/>
              <w:kinsoku/>
              <w:wordWrap/>
              <w:overflowPunct/>
              <w:topLinePunct w:val="0"/>
              <w:bidi w:val="0"/>
              <w:spacing w:line="400" w:lineRule="exact"/>
              <w:jc w:val="left"/>
              <w:textAlignment w:val="auto"/>
              <w:rPr>
                <w:rFonts w:hint="default"/>
                <w:kern w:val="0"/>
                <w:szCs w:val="21"/>
                <w:highlight w:val="none"/>
              </w:rPr>
            </w:pPr>
          </w:p>
          <w:p>
            <w:pPr>
              <w:pageBreakBefore w:val="0"/>
              <w:widowControl/>
              <w:kinsoku/>
              <w:wordWrap/>
              <w:overflowPunct/>
              <w:topLinePunct w:val="0"/>
              <w:bidi w:val="0"/>
              <w:spacing w:line="400" w:lineRule="exact"/>
              <w:jc w:val="left"/>
              <w:textAlignment w:val="auto"/>
              <w:rPr>
                <w:rFonts w:hint="default"/>
                <w:kern w:val="0"/>
                <w:szCs w:val="21"/>
                <w:highlight w:val="none"/>
              </w:rPr>
            </w:pPr>
          </w:p>
          <w:p>
            <w:pPr>
              <w:pageBreakBefore w:val="0"/>
              <w:widowControl/>
              <w:kinsoku/>
              <w:wordWrap/>
              <w:overflowPunct/>
              <w:topLinePunct w:val="0"/>
              <w:bidi w:val="0"/>
              <w:spacing w:line="400" w:lineRule="exact"/>
              <w:jc w:val="center"/>
              <w:textAlignment w:val="auto"/>
              <w:rPr>
                <w:rFonts w:hint="eastAsia"/>
                <w:kern w:val="0"/>
                <w:szCs w:val="21"/>
                <w:highlight w:val="none"/>
                <w:lang w:val="en-US" w:eastAsia="zh-CN"/>
              </w:rPr>
            </w:pPr>
            <w:r>
              <w:rPr>
                <w:rFonts w:hint="default"/>
                <w:kern w:val="0"/>
                <w:szCs w:val="21"/>
                <w:highlight w:val="none"/>
              </w:rPr>
              <w:t>技术</w:t>
            </w:r>
            <w:r>
              <w:rPr>
                <w:rFonts w:hint="eastAsia"/>
                <w:kern w:val="0"/>
                <w:szCs w:val="21"/>
                <w:highlight w:val="none"/>
                <w:lang w:val="en-US" w:eastAsia="zh-CN"/>
              </w:rPr>
              <w:t>资</w:t>
            </w:r>
          </w:p>
          <w:p>
            <w:pPr>
              <w:pageBreakBefore w:val="0"/>
              <w:widowControl/>
              <w:kinsoku/>
              <w:wordWrap/>
              <w:overflowPunct/>
              <w:topLinePunct w:val="0"/>
              <w:bidi w:val="0"/>
              <w:spacing w:line="400" w:lineRule="exact"/>
              <w:jc w:val="center"/>
              <w:textAlignment w:val="auto"/>
              <w:rPr>
                <w:rFonts w:hint="eastAsia" w:eastAsia="宋体"/>
                <w:kern w:val="0"/>
                <w:szCs w:val="21"/>
                <w:highlight w:val="none"/>
                <w:lang w:val="en-US" w:eastAsia="zh-CN"/>
              </w:rPr>
            </w:pPr>
            <w:r>
              <w:rPr>
                <w:rFonts w:hint="eastAsia"/>
                <w:kern w:val="0"/>
                <w:szCs w:val="21"/>
                <w:highlight w:val="none"/>
                <w:lang w:val="en-US" w:eastAsia="zh-CN"/>
              </w:rPr>
              <w:t>信</w:t>
            </w:r>
            <w:r>
              <w:rPr>
                <w:rFonts w:hint="default"/>
                <w:kern w:val="0"/>
                <w:szCs w:val="21"/>
                <w:highlight w:val="none"/>
              </w:rPr>
              <w:t>部</w:t>
            </w:r>
            <w:r>
              <w:rPr>
                <w:rFonts w:hint="eastAsia"/>
                <w:kern w:val="0"/>
                <w:szCs w:val="21"/>
                <w:highlight w:val="none"/>
                <w:lang w:val="en-US" w:eastAsia="zh-CN"/>
              </w:rPr>
              <w:t>分</w:t>
            </w:r>
          </w:p>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default"/>
                <w:kern w:val="0"/>
                <w:szCs w:val="21"/>
                <w:highlight w:val="none"/>
              </w:rPr>
              <w:t>(</w:t>
            </w:r>
            <w:r>
              <w:rPr>
                <w:rFonts w:hint="eastAsia"/>
                <w:kern w:val="0"/>
                <w:szCs w:val="21"/>
                <w:highlight w:val="none"/>
                <w:lang w:val="en-US" w:eastAsia="zh-CN"/>
              </w:rPr>
              <w:t>70</w:t>
            </w:r>
            <w:r>
              <w:rPr>
                <w:rFonts w:hint="default"/>
                <w:kern w:val="0"/>
                <w:szCs w:val="21"/>
                <w:highlight w:val="none"/>
              </w:rPr>
              <w:t>分)</w:t>
            </w:r>
          </w:p>
        </w:tc>
        <w:tc>
          <w:tcPr>
            <w:tcW w:w="1680" w:type="dxa"/>
            <w:noWrap w:val="0"/>
            <w:vAlign w:val="center"/>
          </w:tcPr>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default"/>
                <w:kern w:val="0"/>
                <w:szCs w:val="21"/>
                <w:highlight w:val="none"/>
              </w:rPr>
              <w:t>设计方案</w:t>
            </w:r>
          </w:p>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default"/>
                <w:kern w:val="0"/>
                <w:szCs w:val="21"/>
                <w:highlight w:val="none"/>
              </w:rPr>
              <w:t>(</w:t>
            </w:r>
            <w:r>
              <w:rPr>
                <w:rFonts w:hint="eastAsia"/>
                <w:kern w:val="0"/>
                <w:szCs w:val="21"/>
                <w:highlight w:val="none"/>
                <w:lang w:val="en-US" w:eastAsia="zh-CN"/>
              </w:rPr>
              <w:t>8</w:t>
            </w:r>
            <w:r>
              <w:rPr>
                <w:rFonts w:hint="default"/>
                <w:kern w:val="0"/>
                <w:szCs w:val="21"/>
                <w:highlight w:val="none"/>
              </w:rPr>
              <w:t>分)</w:t>
            </w:r>
          </w:p>
        </w:tc>
        <w:tc>
          <w:tcPr>
            <w:tcW w:w="7095" w:type="dxa"/>
            <w:noWrap w:val="0"/>
            <w:vAlign w:val="center"/>
          </w:tcPr>
          <w:p>
            <w:pPr>
              <w:pageBreakBefore w:val="0"/>
              <w:widowControl/>
              <w:kinsoku/>
              <w:wordWrap/>
              <w:overflowPunct/>
              <w:topLinePunct w:val="0"/>
              <w:bidi w:val="0"/>
              <w:spacing w:line="400" w:lineRule="exact"/>
              <w:jc w:val="left"/>
              <w:textAlignment w:val="auto"/>
              <w:rPr>
                <w:rFonts w:hint="default"/>
                <w:kern w:val="0"/>
                <w:szCs w:val="21"/>
                <w:highlight w:val="none"/>
              </w:rPr>
            </w:pPr>
            <w:r>
              <w:rPr>
                <w:rFonts w:hint="eastAsia"/>
                <w:kern w:val="0"/>
                <w:szCs w:val="21"/>
                <w:highlight w:val="none"/>
                <w:lang w:eastAsia="zh-CN"/>
              </w:rPr>
              <w:t>响应人</w:t>
            </w:r>
            <w:r>
              <w:rPr>
                <w:rFonts w:hint="default"/>
                <w:kern w:val="0"/>
                <w:szCs w:val="21"/>
                <w:highlight w:val="none"/>
              </w:rPr>
              <w:t>根据项目需求，针对现有车型编制更换电池组及相关组件 改造设计方案，样品路试方案及可行性评定方案，根据方案的针对性、先进性以及安全可靠性等方面进行</w:t>
            </w:r>
            <w:r>
              <w:rPr>
                <w:rFonts w:hint="default"/>
                <w:kern w:val="0"/>
                <w:szCs w:val="21"/>
                <w:highlight w:val="none"/>
                <w:lang w:val="en-US" w:eastAsia="zh-CN"/>
              </w:rPr>
              <w:t>综合</w:t>
            </w:r>
            <w:r>
              <w:rPr>
                <w:rFonts w:hint="default"/>
                <w:kern w:val="0"/>
                <w:szCs w:val="21"/>
                <w:highlight w:val="none"/>
              </w:rPr>
              <w:t>评分</w:t>
            </w:r>
            <w:r>
              <w:rPr>
                <w:rFonts w:hint="default"/>
                <w:kern w:val="0"/>
                <w:szCs w:val="21"/>
                <w:highlight w:val="none"/>
                <w:lang w:val="en-US" w:eastAsia="zh-CN"/>
              </w:rPr>
              <w:t>0-</w:t>
            </w:r>
            <w:r>
              <w:rPr>
                <w:rFonts w:hint="eastAsia"/>
                <w:kern w:val="0"/>
                <w:szCs w:val="21"/>
                <w:highlight w:val="none"/>
                <w:lang w:val="en-US" w:eastAsia="zh-CN"/>
              </w:rPr>
              <w:t>8</w:t>
            </w:r>
            <w:r>
              <w:rPr>
                <w:rFonts w:hint="default"/>
                <w:kern w:val="0"/>
                <w:szCs w:val="21"/>
                <w:highlight w:val="none"/>
                <w:lang w:val="en-US" w:eastAsia="zh-CN"/>
              </w:rPr>
              <w:t>分</w:t>
            </w:r>
            <w:r>
              <w:rPr>
                <w:rFonts w:hint="default"/>
                <w:kern w:val="0"/>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77" w:hRule="atLeast"/>
        </w:trPr>
        <w:tc>
          <w:tcPr>
            <w:tcW w:w="1170" w:type="dxa"/>
            <w:vMerge w:val="continue"/>
            <w:noWrap w:val="0"/>
            <w:vAlign w:val="center"/>
          </w:tcPr>
          <w:p>
            <w:pPr>
              <w:pageBreakBefore w:val="0"/>
              <w:widowControl/>
              <w:kinsoku/>
              <w:wordWrap/>
              <w:overflowPunct/>
              <w:topLinePunct w:val="0"/>
              <w:bidi w:val="0"/>
              <w:spacing w:line="400" w:lineRule="exact"/>
              <w:jc w:val="left"/>
              <w:textAlignment w:val="auto"/>
              <w:rPr>
                <w:rFonts w:hint="default"/>
                <w:kern w:val="0"/>
                <w:szCs w:val="21"/>
                <w:highlight w:val="none"/>
              </w:rPr>
            </w:pPr>
          </w:p>
        </w:tc>
        <w:tc>
          <w:tcPr>
            <w:tcW w:w="1680" w:type="dxa"/>
            <w:noWrap w:val="0"/>
            <w:vAlign w:val="center"/>
          </w:tcPr>
          <w:p>
            <w:pPr>
              <w:pageBreakBefore w:val="0"/>
              <w:widowControl/>
              <w:kinsoku/>
              <w:wordWrap/>
              <w:overflowPunct/>
              <w:topLinePunct w:val="0"/>
              <w:bidi w:val="0"/>
              <w:spacing w:line="400" w:lineRule="exact"/>
              <w:jc w:val="center"/>
              <w:textAlignment w:val="auto"/>
              <w:rPr>
                <w:rFonts w:hint="default"/>
                <w:kern w:val="0"/>
                <w:szCs w:val="21"/>
                <w:highlight w:val="none"/>
              </w:rPr>
            </w:pPr>
          </w:p>
          <w:p>
            <w:pPr>
              <w:pageBreakBefore w:val="0"/>
              <w:widowControl/>
              <w:kinsoku/>
              <w:wordWrap/>
              <w:overflowPunct/>
              <w:topLinePunct w:val="0"/>
              <w:bidi w:val="0"/>
              <w:spacing w:line="400" w:lineRule="exact"/>
              <w:jc w:val="center"/>
              <w:textAlignment w:val="auto"/>
              <w:rPr>
                <w:rFonts w:hint="default"/>
                <w:kern w:val="0"/>
                <w:szCs w:val="21"/>
                <w:highlight w:val="none"/>
                <w:lang w:eastAsia="zh-CN"/>
              </w:rPr>
            </w:pPr>
            <w:r>
              <w:rPr>
                <w:rFonts w:hint="default"/>
                <w:kern w:val="0"/>
                <w:szCs w:val="21"/>
                <w:highlight w:val="none"/>
              </w:rPr>
              <w:t>供货方案</w:t>
            </w:r>
          </w:p>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default"/>
                <w:kern w:val="0"/>
                <w:szCs w:val="21"/>
                <w:highlight w:val="none"/>
              </w:rPr>
              <w:t>(</w:t>
            </w:r>
            <w:r>
              <w:rPr>
                <w:rFonts w:hint="eastAsia"/>
                <w:kern w:val="0"/>
                <w:szCs w:val="21"/>
                <w:highlight w:val="none"/>
                <w:lang w:val="en-US" w:eastAsia="zh-CN"/>
              </w:rPr>
              <w:t>9</w:t>
            </w:r>
            <w:r>
              <w:rPr>
                <w:rFonts w:hint="default"/>
                <w:kern w:val="0"/>
                <w:szCs w:val="21"/>
                <w:highlight w:val="none"/>
              </w:rPr>
              <w:t>分)</w:t>
            </w:r>
          </w:p>
        </w:tc>
        <w:tc>
          <w:tcPr>
            <w:tcW w:w="7095" w:type="dxa"/>
            <w:noWrap w:val="0"/>
            <w:vAlign w:val="center"/>
          </w:tcPr>
          <w:p>
            <w:pPr>
              <w:pageBreakBefore w:val="0"/>
              <w:widowControl/>
              <w:kinsoku/>
              <w:wordWrap/>
              <w:overflowPunct/>
              <w:topLinePunct w:val="0"/>
              <w:bidi w:val="0"/>
              <w:spacing w:line="400" w:lineRule="exact"/>
              <w:jc w:val="left"/>
              <w:textAlignment w:val="auto"/>
              <w:rPr>
                <w:rFonts w:hint="default"/>
                <w:kern w:val="0"/>
                <w:szCs w:val="21"/>
                <w:highlight w:val="none"/>
              </w:rPr>
            </w:pPr>
            <w:r>
              <w:rPr>
                <w:rFonts w:hint="eastAsia"/>
                <w:kern w:val="0"/>
                <w:szCs w:val="21"/>
                <w:highlight w:val="none"/>
                <w:lang w:eastAsia="zh-CN"/>
              </w:rPr>
              <w:t>响应人</w:t>
            </w:r>
            <w:r>
              <w:rPr>
                <w:rFonts w:hint="default"/>
                <w:kern w:val="0"/>
                <w:szCs w:val="21"/>
                <w:highlight w:val="none"/>
              </w:rPr>
              <w:t>根据项目需求编制供货方案，至少包括电池组生产计划、 产品质控方案、安装进度计划、拆除和安装方案、调试及试车方案，根据方案的全面性、可行性等方面进行</w:t>
            </w:r>
            <w:r>
              <w:rPr>
                <w:rFonts w:hint="default"/>
                <w:kern w:val="0"/>
                <w:szCs w:val="21"/>
                <w:highlight w:val="none"/>
                <w:lang w:val="en-US" w:eastAsia="zh-CN"/>
              </w:rPr>
              <w:t>综合</w:t>
            </w:r>
            <w:r>
              <w:rPr>
                <w:rFonts w:hint="default"/>
                <w:kern w:val="0"/>
                <w:szCs w:val="21"/>
                <w:highlight w:val="none"/>
              </w:rPr>
              <w:t>评分</w:t>
            </w:r>
            <w:r>
              <w:rPr>
                <w:rFonts w:hint="default"/>
                <w:kern w:val="0"/>
                <w:szCs w:val="21"/>
                <w:highlight w:val="none"/>
                <w:lang w:val="en-US" w:eastAsia="zh-CN"/>
              </w:rPr>
              <w:t>0-</w:t>
            </w:r>
            <w:r>
              <w:rPr>
                <w:rFonts w:hint="eastAsia"/>
                <w:kern w:val="0"/>
                <w:szCs w:val="21"/>
                <w:highlight w:val="none"/>
                <w:lang w:val="en-US" w:eastAsia="zh-CN"/>
              </w:rPr>
              <w:t>9</w:t>
            </w:r>
            <w:r>
              <w:rPr>
                <w:rFonts w:hint="default"/>
                <w:kern w:val="0"/>
                <w:szCs w:val="21"/>
                <w:highlight w:val="none"/>
                <w:lang w:val="en-US" w:eastAsia="zh-CN"/>
              </w:rPr>
              <w:t>分</w:t>
            </w:r>
            <w:r>
              <w:rPr>
                <w:rFonts w:hint="default"/>
                <w:kern w:val="0"/>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1" w:hRule="atLeast"/>
        </w:trPr>
        <w:tc>
          <w:tcPr>
            <w:tcW w:w="1170" w:type="dxa"/>
            <w:vMerge w:val="continue"/>
            <w:noWrap w:val="0"/>
            <w:vAlign w:val="center"/>
          </w:tcPr>
          <w:p>
            <w:pPr>
              <w:pageBreakBefore w:val="0"/>
              <w:widowControl/>
              <w:kinsoku/>
              <w:wordWrap/>
              <w:overflowPunct/>
              <w:topLinePunct w:val="0"/>
              <w:bidi w:val="0"/>
              <w:spacing w:line="400" w:lineRule="exact"/>
              <w:jc w:val="left"/>
              <w:textAlignment w:val="auto"/>
              <w:rPr>
                <w:rFonts w:hint="default"/>
                <w:kern w:val="0"/>
                <w:szCs w:val="21"/>
                <w:highlight w:val="none"/>
              </w:rPr>
            </w:pPr>
          </w:p>
        </w:tc>
        <w:tc>
          <w:tcPr>
            <w:tcW w:w="1680" w:type="dxa"/>
            <w:noWrap w:val="0"/>
            <w:vAlign w:val="center"/>
          </w:tcPr>
          <w:p>
            <w:pPr>
              <w:pageBreakBefore w:val="0"/>
              <w:widowControl/>
              <w:kinsoku/>
              <w:wordWrap/>
              <w:overflowPunct/>
              <w:topLinePunct w:val="0"/>
              <w:bidi w:val="0"/>
              <w:spacing w:line="400" w:lineRule="exact"/>
              <w:jc w:val="center"/>
              <w:textAlignment w:val="auto"/>
              <w:rPr>
                <w:rFonts w:hint="default"/>
                <w:kern w:val="0"/>
                <w:szCs w:val="21"/>
                <w:highlight w:val="none"/>
                <w:lang w:eastAsia="zh-CN"/>
              </w:rPr>
            </w:pPr>
            <w:r>
              <w:rPr>
                <w:rFonts w:hint="default"/>
                <w:kern w:val="0"/>
                <w:szCs w:val="21"/>
                <w:highlight w:val="none"/>
              </w:rPr>
              <w:t>售后服务</w:t>
            </w:r>
          </w:p>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default"/>
                <w:kern w:val="0"/>
                <w:szCs w:val="21"/>
                <w:highlight w:val="none"/>
              </w:rPr>
              <w:t>方案(</w:t>
            </w:r>
            <w:r>
              <w:rPr>
                <w:rFonts w:hint="eastAsia"/>
                <w:kern w:val="0"/>
                <w:szCs w:val="21"/>
                <w:highlight w:val="none"/>
                <w:lang w:val="en-US" w:eastAsia="zh-CN"/>
              </w:rPr>
              <w:t>8</w:t>
            </w:r>
            <w:r>
              <w:rPr>
                <w:rFonts w:hint="default"/>
                <w:kern w:val="0"/>
                <w:szCs w:val="21"/>
                <w:highlight w:val="none"/>
              </w:rPr>
              <w:t>分)</w:t>
            </w:r>
          </w:p>
        </w:tc>
        <w:tc>
          <w:tcPr>
            <w:tcW w:w="7095" w:type="dxa"/>
            <w:noWrap w:val="0"/>
            <w:vAlign w:val="center"/>
          </w:tcPr>
          <w:p>
            <w:pPr>
              <w:pageBreakBefore w:val="0"/>
              <w:widowControl/>
              <w:kinsoku/>
              <w:wordWrap/>
              <w:overflowPunct/>
              <w:topLinePunct w:val="0"/>
              <w:bidi w:val="0"/>
              <w:spacing w:line="400" w:lineRule="exact"/>
              <w:jc w:val="left"/>
              <w:textAlignment w:val="auto"/>
              <w:rPr>
                <w:rFonts w:hint="default"/>
                <w:kern w:val="0"/>
                <w:szCs w:val="21"/>
                <w:highlight w:val="none"/>
              </w:rPr>
            </w:pPr>
            <w:r>
              <w:rPr>
                <w:rFonts w:hint="default"/>
                <w:kern w:val="0"/>
                <w:szCs w:val="21"/>
                <w:highlight w:val="none"/>
              </w:rPr>
              <w:t>根据</w:t>
            </w:r>
            <w:r>
              <w:rPr>
                <w:rFonts w:hint="eastAsia"/>
                <w:kern w:val="0"/>
                <w:szCs w:val="21"/>
                <w:highlight w:val="none"/>
                <w:lang w:eastAsia="zh-CN"/>
              </w:rPr>
              <w:t>响应人</w:t>
            </w:r>
            <w:r>
              <w:rPr>
                <w:rFonts w:hint="default"/>
                <w:kern w:val="0"/>
                <w:szCs w:val="21"/>
                <w:highlight w:val="none"/>
              </w:rPr>
              <w:t>售后服务体系建设、专业技术人员配置、服务响应时效、免费质保期内质保维保服务、备品备件等方面编制服务方案</w:t>
            </w:r>
            <w:r>
              <w:rPr>
                <w:rFonts w:hint="default"/>
                <w:kern w:val="0"/>
                <w:szCs w:val="21"/>
                <w:highlight w:val="none"/>
                <w:lang w:eastAsia="zh-CN"/>
              </w:rPr>
              <w:t>，</w:t>
            </w:r>
            <w:r>
              <w:rPr>
                <w:rFonts w:hint="default"/>
                <w:kern w:val="0"/>
                <w:szCs w:val="21"/>
                <w:highlight w:val="none"/>
                <w:lang w:val="en-US" w:eastAsia="zh-CN"/>
              </w:rPr>
              <w:t>综合比较进行评分0-</w:t>
            </w:r>
            <w:r>
              <w:rPr>
                <w:rFonts w:hint="eastAsia"/>
                <w:kern w:val="0"/>
                <w:szCs w:val="21"/>
                <w:highlight w:val="none"/>
                <w:lang w:val="en-US" w:eastAsia="zh-CN"/>
              </w:rPr>
              <w:t>8</w:t>
            </w:r>
            <w:r>
              <w:rPr>
                <w:rFonts w:hint="default"/>
                <w:kern w:val="0"/>
                <w:szCs w:val="21"/>
                <w:highlight w:val="none"/>
                <w:lang w:val="en-US" w:eastAsia="zh-CN"/>
              </w:rPr>
              <w:t>分</w:t>
            </w:r>
            <w:r>
              <w:rPr>
                <w:rFonts w:hint="default"/>
                <w:kern w:val="0"/>
                <w:szCs w:val="2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8" w:hRule="atLeast"/>
        </w:trPr>
        <w:tc>
          <w:tcPr>
            <w:tcW w:w="1170" w:type="dxa"/>
            <w:vMerge w:val="continue"/>
            <w:noWrap w:val="0"/>
            <w:vAlign w:val="center"/>
          </w:tcPr>
          <w:p>
            <w:pPr>
              <w:pageBreakBefore w:val="0"/>
              <w:widowControl/>
              <w:kinsoku/>
              <w:wordWrap/>
              <w:overflowPunct/>
              <w:topLinePunct w:val="0"/>
              <w:bidi w:val="0"/>
              <w:spacing w:line="400" w:lineRule="exact"/>
              <w:jc w:val="left"/>
              <w:textAlignment w:val="auto"/>
              <w:rPr>
                <w:rFonts w:hint="default"/>
                <w:kern w:val="0"/>
                <w:szCs w:val="21"/>
                <w:highlight w:val="none"/>
              </w:rPr>
            </w:pPr>
          </w:p>
        </w:tc>
        <w:tc>
          <w:tcPr>
            <w:tcW w:w="1680" w:type="dxa"/>
            <w:noWrap w:val="0"/>
            <w:vAlign w:val="center"/>
          </w:tcPr>
          <w:p>
            <w:pPr>
              <w:pageBreakBefore w:val="0"/>
              <w:widowControl/>
              <w:kinsoku/>
              <w:wordWrap/>
              <w:overflowPunct/>
              <w:topLinePunct w:val="0"/>
              <w:bidi w:val="0"/>
              <w:spacing w:line="400" w:lineRule="exact"/>
              <w:jc w:val="center"/>
              <w:textAlignment w:val="auto"/>
              <w:rPr>
                <w:rFonts w:hint="eastAsia" w:eastAsia="宋体"/>
                <w:kern w:val="0"/>
                <w:szCs w:val="21"/>
                <w:highlight w:val="none"/>
                <w:lang w:eastAsia="zh-CN"/>
              </w:rPr>
            </w:pPr>
            <w:r>
              <w:rPr>
                <w:rFonts w:hint="default"/>
                <w:kern w:val="0"/>
                <w:szCs w:val="21"/>
                <w:highlight w:val="none"/>
              </w:rPr>
              <w:t>质量、安全</w:t>
            </w:r>
            <w:r>
              <w:rPr>
                <w:rFonts w:hint="eastAsia"/>
                <w:kern w:val="0"/>
                <w:szCs w:val="21"/>
                <w:highlight w:val="none"/>
                <w:lang w:val="en-US" w:eastAsia="zh-CN"/>
              </w:rPr>
              <w:t>保障</w:t>
            </w:r>
          </w:p>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default"/>
                <w:kern w:val="0"/>
                <w:szCs w:val="21"/>
                <w:highlight w:val="none"/>
              </w:rPr>
              <w:t>(</w:t>
            </w:r>
            <w:r>
              <w:rPr>
                <w:rFonts w:hint="eastAsia"/>
                <w:kern w:val="0"/>
                <w:szCs w:val="21"/>
                <w:highlight w:val="none"/>
                <w:lang w:val="en-US" w:eastAsia="zh-CN"/>
              </w:rPr>
              <w:t>8</w:t>
            </w:r>
            <w:r>
              <w:rPr>
                <w:rFonts w:hint="default"/>
                <w:kern w:val="0"/>
                <w:szCs w:val="21"/>
                <w:highlight w:val="none"/>
              </w:rPr>
              <w:t>分)</w:t>
            </w:r>
          </w:p>
        </w:tc>
        <w:tc>
          <w:tcPr>
            <w:tcW w:w="7095" w:type="dxa"/>
            <w:noWrap w:val="0"/>
            <w:vAlign w:val="center"/>
          </w:tcPr>
          <w:p>
            <w:pPr>
              <w:pageBreakBefore w:val="0"/>
              <w:widowControl/>
              <w:kinsoku/>
              <w:wordWrap/>
              <w:overflowPunct/>
              <w:topLinePunct w:val="0"/>
              <w:bidi w:val="0"/>
              <w:spacing w:line="400" w:lineRule="exact"/>
              <w:jc w:val="left"/>
              <w:textAlignment w:val="auto"/>
              <w:rPr>
                <w:rFonts w:hint="default"/>
                <w:kern w:val="0"/>
                <w:szCs w:val="21"/>
                <w:highlight w:val="none"/>
              </w:rPr>
            </w:pPr>
            <w:r>
              <w:rPr>
                <w:rFonts w:hint="eastAsia"/>
                <w:kern w:val="0"/>
                <w:szCs w:val="21"/>
                <w:highlight w:val="none"/>
                <w:lang w:eastAsia="zh-CN"/>
              </w:rPr>
              <w:t>响应人</w:t>
            </w:r>
            <w:r>
              <w:rPr>
                <w:rFonts w:hint="default"/>
                <w:kern w:val="0"/>
                <w:szCs w:val="21"/>
                <w:highlight w:val="none"/>
              </w:rPr>
              <w:t>根据项目需求自行作出产品质量、产品安全、更换过程质量与安全控制、出厂质量检验以及免费质保维保方面的</w:t>
            </w:r>
            <w:r>
              <w:rPr>
                <w:rFonts w:hint="eastAsia"/>
                <w:kern w:val="0"/>
                <w:szCs w:val="21"/>
                <w:highlight w:val="none"/>
                <w:lang w:val="en-US" w:eastAsia="zh-CN"/>
              </w:rPr>
              <w:t>保障措施</w:t>
            </w:r>
            <w:r>
              <w:rPr>
                <w:rFonts w:hint="default"/>
                <w:kern w:val="0"/>
                <w:szCs w:val="21"/>
                <w:highlight w:val="none"/>
              </w:rPr>
              <w:t>，内容具有针对性、可行性，违反</w:t>
            </w:r>
            <w:r>
              <w:rPr>
                <w:rFonts w:hint="eastAsia"/>
                <w:kern w:val="0"/>
                <w:szCs w:val="21"/>
                <w:highlight w:val="none"/>
                <w:lang w:val="en-US" w:eastAsia="zh-CN"/>
              </w:rPr>
              <w:t>保障措施</w:t>
            </w:r>
            <w:r>
              <w:rPr>
                <w:rFonts w:hint="default"/>
                <w:kern w:val="0"/>
                <w:szCs w:val="21"/>
                <w:highlight w:val="none"/>
              </w:rPr>
              <w:t>的自我惩罚措施严格且易操作，</w:t>
            </w:r>
            <w:r>
              <w:rPr>
                <w:rFonts w:hint="default"/>
                <w:kern w:val="0"/>
                <w:szCs w:val="21"/>
                <w:highlight w:val="none"/>
                <w:lang w:val="en-US" w:eastAsia="zh-CN"/>
              </w:rPr>
              <w:t>综合比较</w:t>
            </w:r>
            <w:r>
              <w:rPr>
                <w:rFonts w:hint="default"/>
                <w:kern w:val="0"/>
                <w:szCs w:val="21"/>
                <w:highlight w:val="none"/>
              </w:rPr>
              <w:t>进行评分0-</w:t>
            </w:r>
            <w:r>
              <w:rPr>
                <w:rFonts w:hint="eastAsia"/>
                <w:kern w:val="0"/>
                <w:szCs w:val="21"/>
                <w:highlight w:val="none"/>
                <w:lang w:val="en-US" w:eastAsia="zh-CN"/>
              </w:rPr>
              <w:t>8</w:t>
            </w:r>
            <w:r>
              <w:rPr>
                <w:rFonts w:hint="default"/>
                <w:kern w:val="0"/>
                <w:szCs w:val="21"/>
                <w:highlight w:val="none"/>
              </w:rPr>
              <w:t>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8" w:hRule="atLeast"/>
        </w:trPr>
        <w:tc>
          <w:tcPr>
            <w:tcW w:w="1170" w:type="dxa"/>
            <w:vMerge w:val="continue"/>
            <w:noWrap w:val="0"/>
            <w:vAlign w:val="center"/>
          </w:tcPr>
          <w:p>
            <w:pPr>
              <w:pageBreakBefore w:val="0"/>
              <w:widowControl/>
              <w:kinsoku/>
              <w:wordWrap/>
              <w:overflowPunct/>
              <w:topLinePunct w:val="0"/>
              <w:bidi w:val="0"/>
              <w:spacing w:line="400" w:lineRule="exact"/>
              <w:jc w:val="left"/>
              <w:textAlignment w:val="auto"/>
              <w:rPr>
                <w:rFonts w:hint="default"/>
                <w:kern w:val="0"/>
                <w:szCs w:val="21"/>
                <w:highlight w:val="none"/>
              </w:rPr>
            </w:pPr>
          </w:p>
        </w:tc>
        <w:tc>
          <w:tcPr>
            <w:tcW w:w="1680" w:type="dxa"/>
            <w:noWrap w:val="0"/>
            <w:vAlign w:val="center"/>
          </w:tcPr>
          <w:p>
            <w:pPr>
              <w:pageBreakBefore w:val="0"/>
              <w:widowControl/>
              <w:kinsoku/>
              <w:wordWrap/>
              <w:overflowPunct/>
              <w:topLinePunct w:val="0"/>
              <w:bidi w:val="0"/>
              <w:spacing w:line="400" w:lineRule="exact"/>
              <w:jc w:val="center"/>
              <w:textAlignment w:val="auto"/>
              <w:rPr>
                <w:rFonts w:hint="eastAsia" w:eastAsia="宋体"/>
                <w:kern w:val="0"/>
                <w:szCs w:val="21"/>
                <w:highlight w:val="none"/>
                <w:lang w:val="en-US" w:eastAsia="zh-CN"/>
              </w:rPr>
            </w:pPr>
            <w:r>
              <w:rPr>
                <w:rFonts w:hint="default"/>
                <w:kern w:val="0"/>
                <w:szCs w:val="21"/>
                <w:highlight w:val="none"/>
              </w:rPr>
              <w:t>延保服务</w:t>
            </w:r>
            <w:r>
              <w:rPr>
                <w:rFonts w:hint="eastAsia"/>
                <w:kern w:val="0"/>
                <w:szCs w:val="21"/>
                <w:highlight w:val="none"/>
                <w:lang w:val="en-US" w:eastAsia="zh-CN"/>
              </w:rPr>
              <w:t>承诺</w:t>
            </w:r>
          </w:p>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default"/>
                <w:kern w:val="0"/>
                <w:szCs w:val="21"/>
                <w:highlight w:val="none"/>
              </w:rPr>
              <w:t>(3分)</w:t>
            </w:r>
          </w:p>
        </w:tc>
        <w:tc>
          <w:tcPr>
            <w:tcW w:w="7095" w:type="dxa"/>
            <w:noWrap w:val="0"/>
            <w:vAlign w:val="center"/>
          </w:tcPr>
          <w:p>
            <w:pPr>
              <w:pageBreakBefore w:val="0"/>
              <w:widowControl/>
              <w:kinsoku/>
              <w:wordWrap/>
              <w:overflowPunct/>
              <w:topLinePunct w:val="0"/>
              <w:bidi w:val="0"/>
              <w:spacing w:line="400" w:lineRule="exact"/>
              <w:jc w:val="left"/>
              <w:textAlignment w:val="auto"/>
              <w:rPr>
                <w:rFonts w:hint="default"/>
                <w:kern w:val="0"/>
                <w:szCs w:val="21"/>
                <w:highlight w:val="none"/>
              </w:rPr>
            </w:pPr>
            <w:r>
              <w:rPr>
                <w:rFonts w:hint="eastAsia"/>
                <w:kern w:val="0"/>
                <w:szCs w:val="21"/>
                <w:highlight w:val="none"/>
                <w:lang w:eastAsia="zh-CN"/>
              </w:rPr>
              <w:t>响应人</w:t>
            </w:r>
            <w:r>
              <w:rPr>
                <w:rFonts w:hint="default"/>
                <w:kern w:val="0"/>
                <w:szCs w:val="21"/>
                <w:highlight w:val="none"/>
              </w:rPr>
              <w:t>承诺整车电池组及相关组件在满足招标文件免费质保期 (</w:t>
            </w:r>
            <w:r>
              <w:rPr>
                <w:rFonts w:hint="eastAsia"/>
                <w:kern w:val="0"/>
                <w:szCs w:val="21"/>
                <w:highlight w:val="none"/>
                <w:lang w:val="en-US" w:eastAsia="zh-CN"/>
              </w:rPr>
              <w:t>不少于</w:t>
            </w:r>
            <w:r>
              <w:rPr>
                <w:rFonts w:hint="default"/>
                <w:kern w:val="0"/>
                <w:szCs w:val="21"/>
                <w:highlight w:val="none"/>
              </w:rPr>
              <w:t>5年) 的基础上，再增加 1 年免费质保期的得 3 分，满分 3 分。未承诺或承诺增加不足 1 年周期的不得分。</w:t>
            </w:r>
          </w:p>
          <w:p>
            <w:pPr>
              <w:pageBreakBefore w:val="0"/>
              <w:widowControl/>
              <w:kinsoku/>
              <w:wordWrap/>
              <w:overflowPunct/>
              <w:topLinePunct w:val="0"/>
              <w:bidi w:val="0"/>
              <w:spacing w:line="400" w:lineRule="exact"/>
              <w:jc w:val="left"/>
              <w:textAlignment w:val="auto"/>
              <w:rPr>
                <w:rFonts w:hint="default" w:eastAsia="宋体"/>
                <w:kern w:val="0"/>
                <w:szCs w:val="21"/>
                <w:highlight w:val="none"/>
                <w:lang w:val="en-US" w:eastAsia="zh-CN"/>
              </w:rPr>
            </w:pPr>
            <w:r>
              <w:rPr>
                <w:rFonts w:hint="eastAsia"/>
                <w:b/>
                <w:bCs/>
                <w:kern w:val="0"/>
                <w:szCs w:val="21"/>
                <w:highlight w:val="none"/>
                <w:lang w:val="en-US" w:eastAsia="zh-CN"/>
              </w:rPr>
              <w:t>注：承诺格式自拟，加盖响应人公章。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6" w:hRule="atLeast"/>
        </w:trPr>
        <w:tc>
          <w:tcPr>
            <w:tcW w:w="1170" w:type="dxa"/>
            <w:vMerge w:val="continue"/>
            <w:noWrap w:val="0"/>
            <w:vAlign w:val="center"/>
          </w:tcPr>
          <w:p>
            <w:pPr>
              <w:pageBreakBefore w:val="0"/>
              <w:widowControl/>
              <w:kinsoku/>
              <w:wordWrap/>
              <w:overflowPunct/>
              <w:topLinePunct w:val="0"/>
              <w:bidi w:val="0"/>
              <w:spacing w:line="400" w:lineRule="exact"/>
              <w:jc w:val="left"/>
              <w:textAlignment w:val="auto"/>
              <w:rPr>
                <w:rFonts w:hint="default"/>
                <w:kern w:val="0"/>
                <w:szCs w:val="21"/>
                <w:highlight w:val="none"/>
              </w:rPr>
            </w:pPr>
          </w:p>
        </w:tc>
        <w:tc>
          <w:tcPr>
            <w:tcW w:w="1680" w:type="dxa"/>
            <w:noWrap w:val="0"/>
            <w:vAlign w:val="center"/>
          </w:tcPr>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default"/>
                <w:kern w:val="0"/>
                <w:szCs w:val="21"/>
                <w:highlight w:val="none"/>
              </w:rPr>
              <w:t>技术参数响应承诺(</w:t>
            </w:r>
            <w:r>
              <w:rPr>
                <w:rFonts w:hint="eastAsia"/>
                <w:kern w:val="0"/>
                <w:szCs w:val="21"/>
                <w:highlight w:val="none"/>
                <w:lang w:val="en-US" w:eastAsia="zh-CN"/>
              </w:rPr>
              <w:t>16</w:t>
            </w:r>
            <w:r>
              <w:rPr>
                <w:rFonts w:hint="default"/>
                <w:kern w:val="0"/>
                <w:szCs w:val="21"/>
                <w:highlight w:val="none"/>
              </w:rPr>
              <w:t>分)</w:t>
            </w:r>
          </w:p>
        </w:tc>
        <w:tc>
          <w:tcPr>
            <w:tcW w:w="7095" w:type="dxa"/>
            <w:noWrap w:val="0"/>
            <w:vAlign w:val="center"/>
          </w:tcPr>
          <w:p>
            <w:pPr>
              <w:pageBreakBefore w:val="0"/>
              <w:widowControl/>
              <w:kinsoku/>
              <w:wordWrap/>
              <w:overflowPunct/>
              <w:topLinePunct w:val="0"/>
              <w:bidi w:val="0"/>
              <w:spacing w:line="400" w:lineRule="exact"/>
              <w:jc w:val="left"/>
              <w:textAlignment w:val="auto"/>
              <w:rPr>
                <w:rFonts w:hint="default"/>
                <w:kern w:val="0"/>
                <w:szCs w:val="21"/>
                <w:highlight w:val="none"/>
              </w:rPr>
            </w:pPr>
            <w:r>
              <w:rPr>
                <w:rFonts w:hint="default"/>
                <w:kern w:val="0"/>
                <w:szCs w:val="21"/>
                <w:highlight w:val="none"/>
              </w:rPr>
              <w:t>1、</w:t>
            </w:r>
            <w:r>
              <w:rPr>
                <w:rFonts w:hint="eastAsia"/>
                <w:kern w:val="0"/>
                <w:szCs w:val="21"/>
                <w:highlight w:val="none"/>
                <w:lang w:eastAsia="zh-CN"/>
              </w:rPr>
              <w:t>响应</w:t>
            </w:r>
            <w:r>
              <w:rPr>
                <w:rFonts w:hint="default"/>
                <w:kern w:val="0"/>
                <w:szCs w:val="21"/>
                <w:highlight w:val="none"/>
              </w:rPr>
              <w:t xml:space="preserve">产品技术参数及要求完全满足或优于招标文件要求的得 </w:t>
            </w:r>
            <w:r>
              <w:rPr>
                <w:rFonts w:hint="eastAsia"/>
                <w:kern w:val="0"/>
                <w:szCs w:val="21"/>
                <w:highlight w:val="none"/>
                <w:lang w:val="en-US" w:eastAsia="zh-CN"/>
              </w:rPr>
              <w:t>10</w:t>
            </w:r>
            <w:r>
              <w:rPr>
                <w:rFonts w:hint="default"/>
                <w:kern w:val="0"/>
                <w:szCs w:val="21"/>
                <w:highlight w:val="none"/>
              </w:rPr>
              <w:t>分。加“★”项每有一条不满足或负偏离或未响应，扣 4 分，非加“★”项每有一条不满足或负偏离或未响应，扣 2 分，扣完为止。</w:t>
            </w:r>
          </w:p>
          <w:p>
            <w:pPr>
              <w:pageBreakBefore w:val="0"/>
              <w:widowControl/>
              <w:kinsoku/>
              <w:wordWrap/>
              <w:overflowPunct/>
              <w:topLinePunct w:val="0"/>
              <w:bidi w:val="0"/>
              <w:spacing w:line="400" w:lineRule="exact"/>
              <w:jc w:val="left"/>
              <w:textAlignment w:val="auto"/>
              <w:rPr>
                <w:rFonts w:hint="default" w:eastAsia="宋体"/>
                <w:kern w:val="0"/>
                <w:szCs w:val="21"/>
                <w:highlight w:val="none"/>
                <w:lang w:val="en-US" w:eastAsia="zh-CN"/>
              </w:rPr>
            </w:pPr>
            <w:r>
              <w:rPr>
                <w:rFonts w:hint="eastAsia"/>
                <w:b/>
                <w:bCs/>
                <w:kern w:val="0"/>
                <w:szCs w:val="21"/>
                <w:highlight w:val="none"/>
                <w:lang w:val="en-US" w:eastAsia="zh-CN"/>
              </w:rPr>
              <w:t>注：技术参数</w:t>
            </w:r>
            <w:r>
              <w:rPr>
                <w:rFonts w:hint="default"/>
                <w:b/>
                <w:bCs/>
                <w:kern w:val="0"/>
                <w:szCs w:val="21"/>
                <w:highlight w:val="none"/>
              </w:rPr>
              <w:t>加“★”</w:t>
            </w:r>
            <w:r>
              <w:rPr>
                <w:rFonts w:hint="eastAsia"/>
                <w:b/>
                <w:bCs/>
                <w:kern w:val="0"/>
                <w:szCs w:val="21"/>
                <w:highlight w:val="none"/>
                <w:lang w:val="en-US" w:eastAsia="zh-CN"/>
              </w:rPr>
              <w:t>和非</w:t>
            </w:r>
            <w:r>
              <w:rPr>
                <w:rFonts w:hint="default"/>
                <w:b/>
                <w:bCs/>
                <w:kern w:val="0"/>
                <w:szCs w:val="21"/>
                <w:highlight w:val="none"/>
              </w:rPr>
              <w:t>加“★”</w:t>
            </w:r>
            <w:r>
              <w:rPr>
                <w:rFonts w:hint="eastAsia"/>
                <w:b/>
                <w:bCs/>
                <w:kern w:val="0"/>
                <w:szCs w:val="21"/>
                <w:highlight w:val="none"/>
                <w:lang w:val="en-US" w:eastAsia="zh-CN"/>
              </w:rPr>
              <w:t>项详见“第五章 发包人要求”，响应人应按照响应文件格式中《技术参数响应表》格式承诺是否响应，若不响应，扣减对应技术条款分值。</w:t>
            </w:r>
          </w:p>
          <w:p>
            <w:pPr>
              <w:pageBreakBefore w:val="0"/>
              <w:widowControl/>
              <w:numPr>
                <w:ilvl w:val="0"/>
                <w:numId w:val="0"/>
              </w:numPr>
              <w:kinsoku/>
              <w:wordWrap/>
              <w:overflowPunct/>
              <w:topLinePunct w:val="0"/>
              <w:bidi w:val="0"/>
              <w:spacing w:line="400" w:lineRule="exact"/>
              <w:jc w:val="left"/>
              <w:textAlignment w:val="auto"/>
              <w:rPr>
                <w:rFonts w:hint="default"/>
                <w:kern w:val="0"/>
                <w:szCs w:val="21"/>
                <w:highlight w:val="none"/>
              </w:rPr>
            </w:pPr>
            <w:r>
              <w:rPr>
                <w:rFonts w:hint="default" w:ascii="Times New Roman" w:hAnsi="Times New Roman" w:eastAsia="宋体" w:cs="Times New Roman"/>
                <w:kern w:val="0"/>
                <w:sz w:val="21"/>
                <w:szCs w:val="21"/>
                <w:highlight w:val="none"/>
                <w:lang w:bidi="ar-SA"/>
              </w:rPr>
              <w:t>2、</w:t>
            </w:r>
            <w:r>
              <w:rPr>
                <w:rFonts w:hint="eastAsia" w:eastAsia="宋体"/>
                <w:kern w:val="0"/>
                <w:szCs w:val="21"/>
                <w:highlight w:val="none"/>
                <w:lang w:eastAsia="zh-CN"/>
              </w:rPr>
              <w:t>响应</w:t>
            </w:r>
            <w:r>
              <w:rPr>
                <w:rFonts w:hint="default"/>
                <w:kern w:val="0"/>
                <w:szCs w:val="21"/>
                <w:highlight w:val="none"/>
              </w:rPr>
              <w:t>产品“8.</w:t>
            </w:r>
            <w:r>
              <w:rPr>
                <w:rFonts w:hint="default"/>
                <w:kern w:val="0"/>
                <w:szCs w:val="21"/>
                <w:highlight w:val="none"/>
                <w:lang w:val="en-US" w:eastAsia="zh-CN"/>
              </w:rPr>
              <w:t>1</w:t>
            </w:r>
            <w:r>
              <w:rPr>
                <w:rFonts w:hint="default"/>
                <w:kern w:val="0"/>
                <w:szCs w:val="21"/>
                <w:highlight w:val="none"/>
              </w:rPr>
              <w:t>米车型电池组及相关组件”电池电量在1</w:t>
            </w:r>
            <w:r>
              <w:rPr>
                <w:rFonts w:hint="default"/>
                <w:kern w:val="0"/>
                <w:szCs w:val="21"/>
                <w:highlight w:val="none"/>
                <w:lang w:val="en-US" w:eastAsia="zh-CN"/>
              </w:rPr>
              <w:t>0</w:t>
            </w:r>
            <w:r>
              <w:rPr>
                <w:rFonts w:hint="default"/>
                <w:kern w:val="0"/>
                <w:szCs w:val="21"/>
                <w:highlight w:val="none"/>
              </w:rPr>
              <w:t xml:space="preserve">5kwh 的基础上每增加 1kwh 加 </w:t>
            </w:r>
            <w:r>
              <w:rPr>
                <w:rFonts w:hint="eastAsia"/>
                <w:kern w:val="0"/>
                <w:szCs w:val="21"/>
                <w:highlight w:val="none"/>
                <w:lang w:val="en-US" w:eastAsia="zh-CN"/>
              </w:rPr>
              <w:t>1.5</w:t>
            </w:r>
            <w:r>
              <w:rPr>
                <w:rFonts w:hint="default"/>
                <w:kern w:val="0"/>
                <w:szCs w:val="21"/>
                <w:highlight w:val="none"/>
              </w:rPr>
              <w:t xml:space="preserve"> 分，最多加 </w:t>
            </w:r>
            <w:r>
              <w:rPr>
                <w:rFonts w:hint="eastAsia"/>
                <w:kern w:val="0"/>
                <w:szCs w:val="21"/>
                <w:highlight w:val="none"/>
                <w:lang w:val="en-US" w:eastAsia="zh-CN"/>
              </w:rPr>
              <w:t>6</w:t>
            </w:r>
            <w:r>
              <w:rPr>
                <w:rFonts w:hint="default"/>
                <w:kern w:val="0"/>
                <w:szCs w:val="21"/>
                <w:highlight w:val="none"/>
              </w:rPr>
              <w:t xml:space="preserve"> 分；增加不足1kwh 的部分不加分。</w:t>
            </w:r>
          </w:p>
          <w:p>
            <w:pPr>
              <w:pageBreakBefore w:val="0"/>
              <w:widowControl/>
              <w:numPr>
                <w:ilvl w:val="0"/>
                <w:numId w:val="0"/>
              </w:numPr>
              <w:kinsoku/>
              <w:wordWrap/>
              <w:overflowPunct/>
              <w:topLinePunct w:val="0"/>
              <w:bidi w:val="0"/>
              <w:spacing w:line="400" w:lineRule="exact"/>
              <w:jc w:val="left"/>
              <w:textAlignment w:val="auto"/>
              <w:rPr>
                <w:rFonts w:hint="default" w:eastAsia="宋体"/>
                <w:kern w:val="0"/>
                <w:szCs w:val="21"/>
                <w:highlight w:val="none"/>
                <w:lang w:val="en-US" w:eastAsia="zh-CN"/>
              </w:rPr>
            </w:pPr>
            <w:r>
              <w:rPr>
                <w:rFonts w:hint="eastAsia"/>
                <w:b/>
                <w:bCs/>
                <w:kern w:val="0"/>
                <w:szCs w:val="21"/>
                <w:highlight w:val="none"/>
                <w:lang w:val="en-US" w:eastAsia="zh-CN"/>
              </w:rPr>
              <w:t>注：响应人提供承诺，承诺格式自拟，加盖响应人公章。</w:t>
            </w:r>
          </w:p>
        </w:tc>
      </w:tr>
    </w:tbl>
    <w:p>
      <w:pPr>
        <w:pageBreakBefore w:val="0"/>
        <w:widowControl/>
        <w:kinsoku/>
        <w:wordWrap/>
        <w:overflowPunct/>
        <w:topLinePunct w:val="0"/>
        <w:bidi w:val="0"/>
        <w:spacing w:line="400" w:lineRule="exact"/>
        <w:jc w:val="left"/>
        <w:textAlignment w:val="auto"/>
        <w:rPr>
          <w:rFonts w:hint="default"/>
          <w:kern w:val="0"/>
          <w:szCs w:val="21"/>
          <w:highlight w:val="none"/>
        </w:rPr>
      </w:pPr>
    </w:p>
    <w:p>
      <w:pPr>
        <w:pageBreakBefore w:val="0"/>
        <w:widowControl/>
        <w:kinsoku/>
        <w:wordWrap/>
        <w:overflowPunct/>
        <w:topLinePunct w:val="0"/>
        <w:bidi w:val="0"/>
        <w:spacing w:line="400" w:lineRule="exact"/>
        <w:jc w:val="left"/>
        <w:textAlignment w:val="auto"/>
        <w:rPr>
          <w:rFonts w:hint="default"/>
          <w:kern w:val="0"/>
          <w:szCs w:val="21"/>
          <w:highlight w:val="none"/>
        </w:rPr>
        <w:sectPr>
          <w:footerReference r:id="rId3" w:type="default"/>
          <w:pgSz w:w="11905" w:h="16839"/>
          <w:pgMar w:top="1117" w:right="845" w:bottom="1144" w:left="958" w:header="878" w:footer="932" w:gutter="0"/>
          <w:pgNumType w:fmt="decimal" w:start="1"/>
          <w:cols w:space="720" w:num="1"/>
        </w:sectPr>
      </w:pPr>
    </w:p>
    <w:tbl>
      <w:tblPr>
        <w:tblStyle w:val="15"/>
        <w:tblW w:w="9945"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0"/>
        <w:gridCol w:w="1665"/>
        <w:gridCol w:w="7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70" w:type="dxa"/>
            <w:noWrap w:val="0"/>
            <w:vAlign w:val="center"/>
          </w:tcPr>
          <w:p>
            <w:pPr>
              <w:pageBreakBefore w:val="0"/>
              <w:widowControl/>
              <w:kinsoku/>
              <w:wordWrap/>
              <w:overflowPunct/>
              <w:topLinePunct w:val="0"/>
              <w:bidi w:val="0"/>
              <w:spacing w:line="400" w:lineRule="exact"/>
              <w:jc w:val="center"/>
              <w:textAlignment w:val="auto"/>
              <w:rPr>
                <w:rFonts w:hint="default"/>
                <w:b/>
                <w:bCs/>
                <w:kern w:val="0"/>
                <w:szCs w:val="21"/>
                <w:highlight w:val="none"/>
              </w:rPr>
            </w:pPr>
            <w:r>
              <w:rPr>
                <w:rFonts w:hint="default"/>
                <w:b/>
                <w:bCs/>
                <w:kern w:val="0"/>
                <w:szCs w:val="21"/>
                <w:highlight w:val="none"/>
              </w:rPr>
              <w:t>类别</w:t>
            </w:r>
          </w:p>
        </w:tc>
        <w:tc>
          <w:tcPr>
            <w:tcW w:w="1665" w:type="dxa"/>
            <w:noWrap w:val="0"/>
            <w:vAlign w:val="center"/>
          </w:tcPr>
          <w:p>
            <w:pPr>
              <w:pageBreakBefore w:val="0"/>
              <w:widowControl/>
              <w:kinsoku/>
              <w:wordWrap/>
              <w:overflowPunct/>
              <w:topLinePunct w:val="0"/>
              <w:bidi w:val="0"/>
              <w:spacing w:line="400" w:lineRule="exact"/>
              <w:jc w:val="center"/>
              <w:textAlignment w:val="auto"/>
              <w:rPr>
                <w:rFonts w:hint="default"/>
                <w:b/>
                <w:bCs/>
                <w:kern w:val="0"/>
                <w:szCs w:val="21"/>
                <w:highlight w:val="none"/>
              </w:rPr>
            </w:pPr>
            <w:r>
              <w:rPr>
                <w:rFonts w:hint="default"/>
                <w:b/>
                <w:bCs/>
                <w:kern w:val="0"/>
                <w:szCs w:val="21"/>
                <w:highlight w:val="none"/>
              </w:rPr>
              <w:t>评分因素及分值</w:t>
            </w:r>
          </w:p>
        </w:tc>
        <w:tc>
          <w:tcPr>
            <w:tcW w:w="7110" w:type="dxa"/>
            <w:noWrap w:val="0"/>
            <w:vAlign w:val="center"/>
          </w:tcPr>
          <w:p>
            <w:pPr>
              <w:pageBreakBefore w:val="0"/>
              <w:widowControl/>
              <w:kinsoku/>
              <w:wordWrap/>
              <w:overflowPunct/>
              <w:topLinePunct w:val="0"/>
              <w:bidi w:val="0"/>
              <w:spacing w:line="400" w:lineRule="exact"/>
              <w:jc w:val="center"/>
              <w:textAlignment w:val="auto"/>
              <w:rPr>
                <w:rFonts w:hint="default"/>
                <w:b/>
                <w:bCs/>
                <w:kern w:val="0"/>
                <w:szCs w:val="21"/>
                <w:highlight w:val="none"/>
              </w:rPr>
            </w:pPr>
            <w:r>
              <w:rPr>
                <w:rFonts w:hint="default"/>
                <w:b/>
                <w:bCs/>
                <w:kern w:val="0"/>
                <w:szCs w:val="21"/>
                <w:highlight w:val="none"/>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1170" w:type="dxa"/>
            <w:vMerge w:val="restart"/>
            <w:noWrap w:val="0"/>
            <w:vAlign w:val="center"/>
          </w:tcPr>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default"/>
                <w:kern w:val="0"/>
                <w:szCs w:val="21"/>
                <w:highlight w:val="none"/>
              </w:rPr>
              <w:t>技术资</w:t>
            </w:r>
          </w:p>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default"/>
                <w:kern w:val="0"/>
                <w:szCs w:val="21"/>
                <w:highlight w:val="none"/>
              </w:rPr>
              <w:t>信部分</w:t>
            </w:r>
          </w:p>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default"/>
                <w:kern w:val="0"/>
                <w:szCs w:val="21"/>
                <w:highlight w:val="none"/>
              </w:rPr>
              <w:t>(</w:t>
            </w:r>
            <w:r>
              <w:rPr>
                <w:rFonts w:hint="eastAsia"/>
                <w:kern w:val="0"/>
                <w:szCs w:val="21"/>
                <w:highlight w:val="none"/>
                <w:lang w:val="en-US" w:eastAsia="zh-CN"/>
              </w:rPr>
              <w:t>70</w:t>
            </w:r>
            <w:r>
              <w:rPr>
                <w:rFonts w:hint="default"/>
                <w:kern w:val="0"/>
                <w:szCs w:val="21"/>
                <w:highlight w:val="none"/>
              </w:rPr>
              <w:t xml:space="preserve"> 分)</w:t>
            </w:r>
          </w:p>
        </w:tc>
        <w:tc>
          <w:tcPr>
            <w:tcW w:w="1665" w:type="dxa"/>
            <w:noWrap w:val="0"/>
            <w:vAlign w:val="center"/>
          </w:tcPr>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eastAsia"/>
                <w:kern w:val="0"/>
                <w:szCs w:val="21"/>
                <w:highlight w:val="none"/>
                <w:lang w:eastAsia="zh-CN"/>
              </w:rPr>
              <w:t>响应</w:t>
            </w:r>
            <w:r>
              <w:rPr>
                <w:rFonts w:hint="default"/>
                <w:kern w:val="0"/>
                <w:szCs w:val="21"/>
                <w:highlight w:val="none"/>
              </w:rPr>
              <w:t>产品实力</w:t>
            </w:r>
          </w:p>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default"/>
                <w:kern w:val="0"/>
                <w:szCs w:val="21"/>
                <w:highlight w:val="none"/>
              </w:rPr>
              <w:t>(6分)</w:t>
            </w:r>
          </w:p>
        </w:tc>
        <w:tc>
          <w:tcPr>
            <w:tcW w:w="7110" w:type="dxa"/>
            <w:noWrap w:val="0"/>
            <w:vAlign w:val="center"/>
          </w:tcPr>
          <w:p>
            <w:pPr>
              <w:pageBreakBefore w:val="0"/>
              <w:widowControl/>
              <w:kinsoku/>
              <w:wordWrap/>
              <w:overflowPunct/>
              <w:topLinePunct w:val="0"/>
              <w:bidi w:val="0"/>
              <w:spacing w:line="400" w:lineRule="exact"/>
              <w:jc w:val="left"/>
              <w:textAlignment w:val="auto"/>
              <w:rPr>
                <w:rFonts w:hint="default"/>
                <w:kern w:val="0"/>
                <w:szCs w:val="21"/>
                <w:highlight w:val="none"/>
              </w:rPr>
            </w:pPr>
            <w:r>
              <w:rPr>
                <w:rFonts w:hint="eastAsia"/>
                <w:kern w:val="0"/>
                <w:szCs w:val="21"/>
                <w:highlight w:val="none"/>
                <w:lang w:eastAsia="zh-CN"/>
              </w:rPr>
              <w:t>响应</w:t>
            </w:r>
            <w:r>
              <w:rPr>
                <w:rFonts w:hint="default"/>
                <w:kern w:val="0"/>
                <w:szCs w:val="21"/>
                <w:highlight w:val="none"/>
              </w:rPr>
              <w:t>产品制造商 (生产厂家) 2021 年、2022 年连续两年被中国汽车工业协会列入“动力电池 (电芯) 装车量”国内排名前5 名的，得6分</w:t>
            </w:r>
            <w:r>
              <w:rPr>
                <w:rFonts w:hint="eastAsia"/>
                <w:kern w:val="0"/>
                <w:szCs w:val="21"/>
                <w:highlight w:val="none"/>
                <w:lang w:eastAsia="zh-CN"/>
              </w:rPr>
              <w:t>；</w:t>
            </w:r>
            <w:r>
              <w:rPr>
                <w:rFonts w:hint="eastAsia"/>
                <w:kern w:val="0"/>
                <w:szCs w:val="21"/>
                <w:highlight w:val="none"/>
                <w:lang w:val="en-US" w:eastAsia="zh-CN"/>
              </w:rPr>
              <w:t>其中一年排名前5名的，得3分；</w:t>
            </w:r>
            <w:r>
              <w:rPr>
                <w:rFonts w:hint="default"/>
                <w:kern w:val="0"/>
                <w:szCs w:val="21"/>
                <w:highlight w:val="none"/>
              </w:rPr>
              <w:t>其他排名</w:t>
            </w:r>
            <w:r>
              <w:rPr>
                <w:rFonts w:hint="eastAsia"/>
                <w:kern w:val="0"/>
                <w:szCs w:val="21"/>
                <w:highlight w:val="none"/>
                <w:lang w:val="en-US" w:eastAsia="zh-CN"/>
              </w:rPr>
              <w:t>的</w:t>
            </w:r>
            <w:r>
              <w:rPr>
                <w:rFonts w:hint="default"/>
                <w:kern w:val="0"/>
                <w:szCs w:val="21"/>
                <w:highlight w:val="none"/>
              </w:rPr>
              <w:t>得</w:t>
            </w:r>
            <w:r>
              <w:rPr>
                <w:rFonts w:hint="eastAsia"/>
                <w:kern w:val="0"/>
                <w:szCs w:val="21"/>
                <w:highlight w:val="none"/>
                <w:lang w:val="en-US" w:eastAsia="zh-CN"/>
              </w:rPr>
              <w:t>1</w:t>
            </w:r>
            <w:r>
              <w:rPr>
                <w:rFonts w:hint="default"/>
                <w:kern w:val="0"/>
                <w:szCs w:val="21"/>
                <w:highlight w:val="none"/>
              </w:rPr>
              <w:t>分。</w:t>
            </w:r>
          </w:p>
          <w:p>
            <w:pPr>
              <w:pageBreakBefore w:val="0"/>
              <w:widowControl/>
              <w:kinsoku/>
              <w:wordWrap/>
              <w:overflowPunct/>
              <w:topLinePunct w:val="0"/>
              <w:bidi w:val="0"/>
              <w:spacing w:line="400" w:lineRule="exact"/>
              <w:jc w:val="left"/>
              <w:textAlignment w:val="auto"/>
              <w:rPr>
                <w:rFonts w:hint="eastAsia" w:eastAsia="宋体"/>
                <w:kern w:val="0"/>
                <w:szCs w:val="21"/>
                <w:highlight w:val="none"/>
                <w:lang w:eastAsia="zh-CN"/>
              </w:rPr>
            </w:pPr>
            <w:r>
              <w:rPr>
                <w:rFonts w:hint="eastAsia"/>
                <w:b/>
                <w:bCs/>
                <w:kern w:val="0"/>
                <w:szCs w:val="21"/>
                <w:highlight w:val="none"/>
                <w:lang w:val="en-US" w:eastAsia="zh-CN"/>
              </w:rPr>
              <w:t>注：</w:t>
            </w:r>
            <w:r>
              <w:rPr>
                <w:rFonts w:hint="default"/>
                <w:b/>
                <w:bCs/>
                <w:kern w:val="0"/>
                <w:szCs w:val="21"/>
                <w:highlight w:val="none"/>
              </w:rPr>
              <w:t>提供中国汽车工业协会文件或官方网站公示截图</w:t>
            </w:r>
            <w:r>
              <w:rPr>
                <w:rFonts w:hint="eastAsia"/>
                <w:b/>
                <w:bCs/>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trPr>
        <w:tc>
          <w:tcPr>
            <w:tcW w:w="1170" w:type="dxa"/>
            <w:vMerge w:val="continue"/>
            <w:noWrap w:val="0"/>
            <w:vAlign w:val="top"/>
          </w:tcPr>
          <w:p>
            <w:pPr>
              <w:pageBreakBefore w:val="0"/>
              <w:widowControl/>
              <w:kinsoku/>
              <w:wordWrap/>
              <w:overflowPunct/>
              <w:topLinePunct w:val="0"/>
              <w:bidi w:val="0"/>
              <w:spacing w:line="400" w:lineRule="exact"/>
              <w:jc w:val="center"/>
              <w:textAlignment w:val="auto"/>
              <w:rPr>
                <w:rFonts w:hint="default"/>
                <w:kern w:val="0"/>
                <w:szCs w:val="21"/>
                <w:highlight w:val="none"/>
              </w:rPr>
            </w:pPr>
          </w:p>
        </w:tc>
        <w:tc>
          <w:tcPr>
            <w:tcW w:w="1665" w:type="dxa"/>
            <w:noWrap w:val="0"/>
            <w:vAlign w:val="center"/>
          </w:tcPr>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default"/>
                <w:kern w:val="0"/>
                <w:szCs w:val="21"/>
                <w:highlight w:val="none"/>
              </w:rPr>
              <w:t>企业业绩</w:t>
            </w:r>
          </w:p>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default"/>
                <w:kern w:val="0"/>
                <w:szCs w:val="21"/>
                <w:highlight w:val="none"/>
              </w:rPr>
              <w:t>(4分)</w:t>
            </w:r>
          </w:p>
        </w:tc>
        <w:tc>
          <w:tcPr>
            <w:tcW w:w="7110" w:type="dxa"/>
            <w:noWrap w:val="0"/>
            <w:vAlign w:val="center"/>
          </w:tcPr>
          <w:p>
            <w:pPr>
              <w:pageBreakBefore w:val="0"/>
              <w:widowControl/>
              <w:kinsoku/>
              <w:wordWrap/>
              <w:overflowPunct/>
              <w:topLinePunct w:val="0"/>
              <w:bidi w:val="0"/>
              <w:spacing w:line="400" w:lineRule="exact"/>
              <w:jc w:val="left"/>
              <w:textAlignment w:val="auto"/>
              <w:rPr>
                <w:rFonts w:hint="default"/>
                <w:kern w:val="0"/>
                <w:szCs w:val="21"/>
                <w:highlight w:val="none"/>
              </w:rPr>
            </w:pPr>
            <w:r>
              <w:rPr>
                <w:rFonts w:hint="eastAsia"/>
                <w:kern w:val="0"/>
                <w:szCs w:val="21"/>
                <w:highlight w:val="none"/>
                <w:lang w:eastAsia="zh-CN"/>
              </w:rPr>
              <w:t>响应人</w:t>
            </w:r>
            <w:r>
              <w:rPr>
                <w:rFonts w:hint="default"/>
                <w:kern w:val="0"/>
                <w:szCs w:val="21"/>
                <w:highlight w:val="none"/>
              </w:rPr>
              <w:t>自 2020 年 1 月 1 日以来 (以合同签订时间为准) ，具有单项合同金额1000万元 (不含) 以上</w:t>
            </w:r>
            <w:r>
              <w:rPr>
                <w:rFonts w:hint="eastAsia"/>
                <w:kern w:val="0"/>
                <w:szCs w:val="21"/>
                <w:highlight w:val="none"/>
                <w:lang w:val="en-US" w:eastAsia="zh-CN"/>
              </w:rPr>
              <w:t>且</w:t>
            </w:r>
            <w:r>
              <w:rPr>
                <w:rFonts w:hint="default"/>
                <w:kern w:val="0"/>
                <w:szCs w:val="21"/>
                <w:highlight w:val="none"/>
              </w:rPr>
              <w:t>2000 万元(含) 以</w:t>
            </w:r>
            <w:r>
              <w:rPr>
                <w:rFonts w:hint="eastAsia"/>
                <w:kern w:val="0"/>
                <w:szCs w:val="21"/>
                <w:highlight w:val="none"/>
                <w:lang w:val="en-US" w:eastAsia="zh-CN"/>
              </w:rPr>
              <w:t>下</w:t>
            </w:r>
            <w:r>
              <w:rPr>
                <w:rFonts w:hint="default"/>
                <w:kern w:val="0"/>
                <w:szCs w:val="21"/>
                <w:highlight w:val="none"/>
              </w:rPr>
              <w:t>的整车电池组销售业绩，每 1 项得 1 分</w:t>
            </w:r>
            <w:r>
              <w:rPr>
                <w:rFonts w:hint="eastAsia"/>
                <w:kern w:val="0"/>
                <w:szCs w:val="21"/>
                <w:highlight w:val="none"/>
                <w:lang w:eastAsia="zh-CN"/>
              </w:rPr>
              <w:t>，</w:t>
            </w:r>
            <w:r>
              <w:rPr>
                <w:rFonts w:hint="default"/>
                <w:kern w:val="0"/>
                <w:szCs w:val="21"/>
                <w:highlight w:val="none"/>
              </w:rPr>
              <w:t>最多得 2 分。</w:t>
            </w:r>
          </w:p>
          <w:p>
            <w:pPr>
              <w:pageBreakBefore w:val="0"/>
              <w:widowControl/>
              <w:kinsoku/>
              <w:wordWrap/>
              <w:overflowPunct/>
              <w:topLinePunct w:val="0"/>
              <w:bidi w:val="0"/>
              <w:spacing w:line="400" w:lineRule="exact"/>
              <w:jc w:val="left"/>
              <w:textAlignment w:val="auto"/>
              <w:rPr>
                <w:rFonts w:hint="eastAsia"/>
                <w:kern w:val="0"/>
                <w:szCs w:val="21"/>
                <w:highlight w:val="none"/>
                <w:lang w:val="en-US" w:eastAsia="zh-CN"/>
              </w:rPr>
            </w:pPr>
            <w:r>
              <w:rPr>
                <w:rFonts w:hint="default"/>
                <w:kern w:val="0"/>
                <w:szCs w:val="21"/>
                <w:highlight w:val="none"/>
              </w:rPr>
              <w:t>具有单项合同金额 2000 万元(不含) 以上的整车电池组销售业绩，每 1 项得 2 分</w:t>
            </w:r>
            <w:r>
              <w:rPr>
                <w:rFonts w:hint="eastAsia"/>
                <w:kern w:val="0"/>
                <w:szCs w:val="21"/>
                <w:highlight w:val="none"/>
                <w:lang w:eastAsia="zh-CN"/>
              </w:rPr>
              <w:t>，</w:t>
            </w:r>
            <w:r>
              <w:rPr>
                <w:rFonts w:hint="eastAsia"/>
                <w:kern w:val="0"/>
                <w:szCs w:val="21"/>
                <w:highlight w:val="none"/>
                <w:lang w:val="en-US" w:eastAsia="zh-CN"/>
              </w:rPr>
              <w:t>最多得4分。</w:t>
            </w:r>
          </w:p>
          <w:p>
            <w:pPr>
              <w:pageBreakBefore w:val="0"/>
              <w:widowControl/>
              <w:kinsoku/>
              <w:wordWrap/>
              <w:overflowPunct/>
              <w:topLinePunct w:val="0"/>
              <w:bidi w:val="0"/>
              <w:spacing w:line="400" w:lineRule="exact"/>
              <w:jc w:val="left"/>
              <w:textAlignment w:val="auto"/>
              <w:rPr>
                <w:rFonts w:hint="default"/>
                <w:kern w:val="0"/>
                <w:szCs w:val="21"/>
                <w:highlight w:val="none"/>
              </w:rPr>
            </w:pPr>
            <w:r>
              <w:rPr>
                <w:rFonts w:hint="eastAsia"/>
                <w:b/>
                <w:bCs/>
                <w:kern w:val="0"/>
                <w:szCs w:val="21"/>
                <w:highlight w:val="none"/>
                <w:lang w:val="en-US" w:eastAsia="zh-CN"/>
              </w:rPr>
              <w:t>注：</w:t>
            </w:r>
            <w:r>
              <w:rPr>
                <w:rFonts w:hint="default"/>
                <w:b/>
                <w:bCs/>
                <w:kern w:val="0"/>
                <w:szCs w:val="21"/>
                <w:highlight w:val="none"/>
              </w:rPr>
              <w:t>本项评分满分 4 分；提供业绩销售合同</w:t>
            </w:r>
            <w:r>
              <w:rPr>
                <w:rFonts w:hint="eastAsia"/>
                <w:b/>
                <w:bCs/>
                <w:kern w:val="0"/>
                <w:szCs w:val="21"/>
                <w:highlight w:val="none"/>
                <w:lang w:eastAsia="zh-CN"/>
              </w:rPr>
              <w:t>，</w:t>
            </w:r>
            <w:r>
              <w:rPr>
                <w:rFonts w:hint="eastAsia"/>
                <w:b/>
                <w:bCs/>
                <w:kern w:val="0"/>
                <w:szCs w:val="21"/>
                <w:highlight w:val="none"/>
                <w:lang w:val="en-US" w:eastAsia="zh-CN"/>
              </w:rPr>
              <w:t>若合同中无法体现评审因素，则可另外提供合同甲方（业主方）盖章的说明，否则不予认可</w:t>
            </w:r>
            <w:r>
              <w:rPr>
                <w:rFonts w:hint="default"/>
                <w:b/>
                <w:bCs/>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5" w:hRule="atLeast"/>
        </w:trPr>
        <w:tc>
          <w:tcPr>
            <w:tcW w:w="1170" w:type="dxa"/>
            <w:vMerge w:val="continue"/>
            <w:noWrap w:val="0"/>
            <w:vAlign w:val="top"/>
          </w:tcPr>
          <w:p>
            <w:pPr>
              <w:pageBreakBefore w:val="0"/>
              <w:widowControl/>
              <w:kinsoku/>
              <w:wordWrap/>
              <w:overflowPunct/>
              <w:topLinePunct w:val="0"/>
              <w:bidi w:val="0"/>
              <w:spacing w:line="400" w:lineRule="exact"/>
              <w:jc w:val="center"/>
              <w:textAlignment w:val="auto"/>
              <w:rPr>
                <w:rFonts w:hint="default"/>
                <w:kern w:val="0"/>
                <w:szCs w:val="21"/>
                <w:highlight w:val="none"/>
              </w:rPr>
            </w:pPr>
          </w:p>
        </w:tc>
        <w:tc>
          <w:tcPr>
            <w:tcW w:w="1665" w:type="dxa"/>
            <w:noWrap w:val="0"/>
            <w:vAlign w:val="center"/>
          </w:tcPr>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eastAsia"/>
                <w:kern w:val="0"/>
                <w:szCs w:val="21"/>
                <w:highlight w:val="none"/>
                <w:lang w:eastAsia="zh-CN"/>
              </w:rPr>
              <w:t>响应人</w:t>
            </w:r>
            <w:r>
              <w:rPr>
                <w:rFonts w:hint="default"/>
                <w:kern w:val="0"/>
                <w:szCs w:val="21"/>
                <w:highlight w:val="none"/>
              </w:rPr>
              <w:t>实力</w:t>
            </w:r>
          </w:p>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default"/>
                <w:kern w:val="0"/>
                <w:szCs w:val="21"/>
                <w:highlight w:val="none"/>
              </w:rPr>
              <w:t>(8分)</w:t>
            </w:r>
          </w:p>
        </w:tc>
        <w:tc>
          <w:tcPr>
            <w:tcW w:w="7110" w:type="dxa"/>
            <w:noWrap w:val="0"/>
            <w:vAlign w:val="center"/>
          </w:tcPr>
          <w:p>
            <w:pPr>
              <w:pageBreakBefore w:val="0"/>
              <w:widowControl/>
              <w:kinsoku/>
              <w:wordWrap/>
              <w:overflowPunct/>
              <w:topLinePunct w:val="0"/>
              <w:bidi w:val="0"/>
              <w:spacing w:line="400" w:lineRule="exact"/>
              <w:jc w:val="left"/>
              <w:textAlignment w:val="auto"/>
              <w:rPr>
                <w:rFonts w:hint="default"/>
                <w:kern w:val="0"/>
                <w:szCs w:val="21"/>
                <w:highlight w:val="none"/>
                <w:lang w:eastAsia="zh-CN"/>
              </w:rPr>
            </w:pPr>
            <w:r>
              <w:rPr>
                <w:rFonts w:hint="default"/>
                <w:kern w:val="0"/>
                <w:szCs w:val="21"/>
                <w:highlight w:val="none"/>
              </w:rPr>
              <w:t>1、</w:t>
            </w:r>
            <w:r>
              <w:rPr>
                <w:rFonts w:hint="eastAsia"/>
                <w:kern w:val="0"/>
                <w:szCs w:val="21"/>
                <w:highlight w:val="none"/>
                <w:lang w:eastAsia="zh-CN"/>
              </w:rPr>
              <w:t>响应人</w:t>
            </w:r>
            <w:r>
              <w:rPr>
                <w:rFonts w:hint="default"/>
                <w:kern w:val="0"/>
                <w:szCs w:val="21"/>
                <w:highlight w:val="none"/>
              </w:rPr>
              <w:t>具有质量管理体系、环境管理体系、职业健康管理体系 认证证书，且认证范围覆盖锂电池设计、组装的，3 项认证均具备的得 2 分，每缺 1 项扣 1 分，扣完为止。</w:t>
            </w:r>
          </w:p>
          <w:p>
            <w:pPr>
              <w:pageBreakBefore w:val="0"/>
              <w:widowControl/>
              <w:kinsoku/>
              <w:wordWrap/>
              <w:overflowPunct/>
              <w:topLinePunct w:val="0"/>
              <w:bidi w:val="0"/>
              <w:spacing w:line="400" w:lineRule="exact"/>
              <w:jc w:val="left"/>
              <w:textAlignment w:val="auto"/>
              <w:rPr>
                <w:rFonts w:hint="default"/>
                <w:kern w:val="0"/>
                <w:szCs w:val="21"/>
                <w:highlight w:val="none"/>
                <w:lang w:eastAsia="zh-CN"/>
              </w:rPr>
            </w:pPr>
            <w:r>
              <w:rPr>
                <w:rFonts w:hint="default"/>
                <w:kern w:val="0"/>
                <w:szCs w:val="21"/>
                <w:highlight w:val="none"/>
              </w:rPr>
              <w:t>2、</w:t>
            </w:r>
            <w:r>
              <w:rPr>
                <w:rFonts w:hint="eastAsia"/>
                <w:kern w:val="0"/>
                <w:szCs w:val="21"/>
                <w:highlight w:val="none"/>
                <w:lang w:eastAsia="zh-CN"/>
              </w:rPr>
              <w:t>响应人</w:t>
            </w:r>
            <w:r>
              <w:rPr>
                <w:rFonts w:hint="default"/>
                <w:kern w:val="0"/>
                <w:szCs w:val="21"/>
                <w:highlight w:val="none"/>
              </w:rPr>
              <w:t>具有 IATF16949</w:t>
            </w:r>
            <w:r>
              <w:rPr>
                <w:rFonts w:hint="eastAsia"/>
                <w:kern w:val="0"/>
                <w:szCs w:val="21"/>
                <w:highlight w:val="none"/>
                <w:lang w:eastAsia="zh-CN"/>
              </w:rPr>
              <w:t>：</w:t>
            </w:r>
            <w:r>
              <w:rPr>
                <w:rFonts w:hint="default"/>
                <w:kern w:val="0"/>
                <w:szCs w:val="21"/>
                <w:highlight w:val="none"/>
              </w:rPr>
              <w:t>2016 汽车行业质量管理体系认证的，得 3 分，满分 3 分。</w:t>
            </w:r>
            <w:r>
              <w:rPr>
                <w:rFonts w:hint="default"/>
                <w:kern w:val="0"/>
                <w:szCs w:val="21"/>
                <w:highlight w:val="none"/>
              </w:rPr>
              <w:cr/>
            </w:r>
            <w:r>
              <w:rPr>
                <w:rFonts w:hint="eastAsia"/>
                <w:b/>
                <w:bCs/>
                <w:kern w:val="0"/>
                <w:szCs w:val="21"/>
                <w:highlight w:val="none"/>
                <w:lang w:val="en-US" w:eastAsia="zh-CN"/>
              </w:rPr>
              <w:t>注：</w:t>
            </w:r>
            <w:r>
              <w:rPr>
                <w:rFonts w:hint="default"/>
                <w:b/>
                <w:bCs/>
                <w:kern w:val="0"/>
                <w:szCs w:val="21"/>
                <w:highlight w:val="none"/>
              </w:rPr>
              <w:t>以上第 1、2 条评分，同时提供认证证书和全国认证认可信息公共服务平台网站查询结果截图，否则不得分。</w:t>
            </w:r>
          </w:p>
          <w:p>
            <w:pPr>
              <w:pageBreakBefore w:val="0"/>
              <w:widowControl/>
              <w:kinsoku/>
              <w:wordWrap/>
              <w:overflowPunct/>
              <w:topLinePunct w:val="0"/>
              <w:bidi w:val="0"/>
              <w:spacing w:line="400" w:lineRule="exact"/>
              <w:jc w:val="both"/>
              <w:textAlignment w:val="auto"/>
              <w:rPr>
                <w:rFonts w:hint="default"/>
                <w:kern w:val="0"/>
                <w:szCs w:val="21"/>
                <w:highlight w:val="none"/>
                <w:lang w:eastAsia="zh-CN"/>
              </w:rPr>
            </w:pPr>
            <w:r>
              <w:rPr>
                <w:rFonts w:hint="default"/>
                <w:kern w:val="0"/>
                <w:szCs w:val="21"/>
                <w:highlight w:val="none"/>
              </w:rPr>
              <w:t>3、</w:t>
            </w:r>
            <w:r>
              <w:rPr>
                <w:rFonts w:hint="eastAsia"/>
                <w:kern w:val="0"/>
                <w:szCs w:val="21"/>
                <w:highlight w:val="none"/>
                <w:lang w:eastAsia="zh-CN"/>
              </w:rPr>
              <w:t>响应人</w:t>
            </w:r>
            <w:r>
              <w:rPr>
                <w:rFonts w:hint="default"/>
                <w:kern w:val="0"/>
                <w:szCs w:val="21"/>
                <w:highlight w:val="none"/>
              </w:rPr>
              <w:t>为“高新技术企业”的，得 1 分。</w:t>
            </w:r>
            <w:r>
              <w:rPr>
                <w:rFonts w:hint="default"/>
                <w:kern w:val="0"/>
                <w:szCs w:val="21"/>
                <w:highlight w:val="none"/>
              </w:rPr>
              <w:cr/>
            </w:r>
            <w:r>
              <w:rPr>
                <w:rFonts w:hint="eastAsia"/>
                <w:b/>
                <w:bCs/>
                <w:kern w:val="0"/>
                <w:szCs w:val="21"/>
                <w:highlight w:val="none"/>
                <w:lang w:val="en-US" w:eastAsia="zh-CN"/>
              </w:rPr>
              <w:t>注：</w:t>
            </w:r>
            <w:r>
              <w:rPr>
                <w:rFonts w:hint="default"/>
                <w:b/>
                <w:bCs/>
                <w:kern w:val="0"/>
                <w:szCs w:val="21"/>
                <w:highlight w:val="none"/>
              </w:rPr>
              <w:t>提供证书扫描件</w:t>
            </w:r>
            <w:r>
              <w:rPr>
                <w:rFonts w:hint="eastAsia"/>
                <w:b/>
                <w:bCs/>
                <w:kern w:val="0"/>
                <w:szCs w:val="21"/>
                <w:highlight w:val="none"/>
                <w:lang w:eastAsia="zh-CN"/>
              </w:rPr>
              <w:t>。</w:t>
            </w:r>
            <w:r>
              <w:rPr>
                <w:rFonts w:hint="default"/>
                <w:kern w:val="0"/>
                <w:szCs w:val="21"/>
                <w:highlight w:val="none"/>
              </w:rPr>
              <w:cr/>
            </w:r>
            <w:r>
              <w:rPr>
                <w:rFonts w:hint="default"/>
                <w:kern w:val="0"/>
                <w:szCs w:val="21"/>
                <w:highlight w:val="none"/>
              </w:rPr>
              <w:t>4、</w:t>
            </w:r>
            <w:r>
              <w:rPr>
                <w:rFonts w:hint="eastAsia"/>
                <w:kern w:val="0"/>
                <w:szCs w:val="21"/>
                <w:highlight w:val="none"/>
                <w:lang w:eastAsia="zh-CN"/>
              </w:rPr>
              <w:t>响应人</w:t>
            </w:r>
            <w:r>
              <w:rPr>
                <w:rFonts w:hint="default"/>
                <w:kern w:val="0"/>
                <w:szCs w:val="21"/>
                <w:highlight w:val="none"/>
              </w:rPr>
              <w:t>具有锂电池产品或锂电池生产制造相关的专利证书，每1 项得 1 分，满分 2 分。</w:t>
            </w:r>
          </w:p>
          <w:p>
            <w:pPr>
              <w:pageBreakBefore w:val="0"/>
              <w:widowControl/>
              <w:kinsoku/>
              <w:wordWrap/>
              <w:overflowPunct/>
              <w:topLinePunct w:val="0"/>
              <w:bidi w:val="0"/>
              <w:spacing w:line="400" w:lineRule="exact"/>
              <w:jc w:val="left"/>
              <w:textAlignment w:val="auto"/>
              <w:rPr>
                <w:rFonts w:hint="eastAsia" w:eastAsia="宋体"/>
                <w:kern w:val="0"/>
                <w:szCs w:val="21"/>
                <w:highlight w:val="none"/>
                <w:lang w:eastAsia="zh-CN"/>
              </w:rPr>
            </w:pPr>
            <w:r>
              <w:rPr>
                <w:rFonts w:hint="eastAsia"/>
                <w:b/>
                <w:bCs/>
                <w:kern w:val="0"/>
                <w:szCs w:val="21"/>
                <w:highlight w:val="none"/>
                <w:lang w:val="en-US" w:eastAsia="zh-CN"/>
              </w:rPr>
              <w:t>注：</w:t>
            </w:r>
            <w:r>
              <w:rPr>
                <w:rFonts w:hint="default"/>
                <w:b/>
                <w:bCs/>
                <w:kern w:val="0"/>
                <w:szCs w:val="21"/>
                <w:highlight w:val="none"/>
              </w:rPr>
              <w:t>提供国家知识产权局颁发的发明专利证书</w:t>
            </w:r>
            <w:r>
              <w:rPr>
                <w:rFonts w:hint="eastAsia"/>
                <w:b/>
                <w:bCs/>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3" w:hRule="atLeast"/>
        </w:trPr>
        <w:tc>
          <w:tcPr>
            <w:tcW w:w="1170" w:type="dxa"/>
            <w:noWrap w:val="0"/>
            <w:vAlign w:val="center"/>
          </w:tcPr>
          <w:p>
            <w:pPr>
              <w:pageBreakBefore w:val="0"/>
              <w:widowControl/>
              <w:kinsoku/>
              <w:wordWrap/>
              <w:overflowPunct/>
              <w:topLinePunct w:val="0"/>
              <w:bidi w:val="0"/>
              <w:spacing w:line="400" w:lineRule="exact"/>
              <w:jc w:val="center"/>
              <w:textAlignment w:val="auto"/>
              <w:rPr>
                <w:rFonts w:hint="default"/>
                <w:kern w:val="0"/>
                <w:szCs w:val="21"/>
                <w:highlight w:val="none"/>
              </w:rPr>
            </w:pPr>
            <w:r>
              <w:rPr>
                <w:rFonts w:hint="default"/>
                <w:kern w:val="0"/>
                <w:szCs w:val="21"/>
                <w:highlight w:val="none"/>
              </w:rPr>
              <w:t>报价分值</w:t>
            </w:r>
          </w:p>
          <w:p>
            <w:pPr>
              <w:pageBreakBefore w:val="0"/>
              <w:widowControl/>
              <w:kinsoku/>
              <w:wordWrap/>
              <w:overflowPunct/>
              <w:topLinePunct w:val="0"/>
              <w:bidi w:val="0"/>
              <w:spacing w:line="400" w:lineRule="exact"/>
              <w:jc w:val="center"/>
              <w:textAlignment w:val="auto"/>
              <w:rPr>
                <w:rFonts w:hint="default"/>
                <w:kern w:val="0"/>
                <w:szCs w:val="21"/>
                <w:highlight w:val="none"/>
                <w:lang w:val="en-US" w:eastAsia="zh-CN"/>
              </w:rPr>
            </w:pPr>
            <w:r>
              <w:rPr>
                <w:rFonts w:hint="default"/>
                <w:kern w:val="0"/>
                <w:szCs w:val="21"/>
                <w:highlight w:val="none"/>
              </w:rPr>
              <w:t xml:space="preserve"> (</w:t>
            </w:r>
            <w:r>
              <w:rPr>
                <w:rFonts w:hint="eastAsia"/>
                <w:kern w:val="0"/>
                <w:szCs w:val="21"/>
                <w:highlight w:val="none"/>
                <w:lang w:val="en-US" w:eastAsia="zh-CN"/>
              </w:rPr>
              <w:t>30</w:t>
            </w:r>
            <w:r>
              <w:rPr>
                <w:rFonts w:hint="default"/>
                <w:kern w:val="0"/>
                <w:szCs w:val="21"/>
                <w:highlight w:val="none"/>
              </w:rPr>
              <w:t>分</w:t>
            </w:r>
            <w:r>
              <w:rPr>
                <w:rFonts w:hint="default"/>
                <w:kern w:val="0"/>
                <w:szCs w:val="21"/>
                <w:highlight w:val="none"/>
                <w:lang w:eastAsia="zh-CN"/>
              </w:rPr>
              <w:t>)</w:t>
            </w:r>
          </w:p>
        </w:tc>
        <w:tc>
          <w:tcPr>
            <w:tcW w:w="1665" w:type="dxa"/>
            <w:noWrap w:val="0"/>
            <w:vAlign w:val="center"/>
          </w:tcPr>
          <w:p>
            <w:pPr>
              <w:pageBreakBefore w:val="0"/>
              <w:widowControl/>
              <w:kinsoku/>
              <w:wordWrap/>
              <w:overflowPunct/>
              <w:topLinePunct w:val="0"/>
              <w:bidi w:val="0"/>
              <w:spacing w:line="400" w:lineRule="exact"/>
              <w:jc w:val="center"/>
              <w:textAlignment w:val="auto"/>
              <w:rPr>
                <w:rFonts w:hint="default"/>
                <w:kern w:val="0"/>
                <w:szCs w:val="21"/>
                <w:highlight w:val="none"/>
                <w:lang w:val="en-US"/>
              </w:rPr>
            </w:pPr>
            <w:r>
              <w:rPr>
                <w:rFonts w:hint="eastAsia"/>
                <w:kern w:val="0"/>
                <w:szCs w:val="21"/>
                <w:highlight w:val="none"/>
                <w:lang w:val="en-US" w:eastAsia="zh-CN"/>
              </w:rPr>
              <w:t>评审总报价</w:t>
            </w:r>
          </w:p>
          <w:p>
            <w:pPr>
              <w:pageBreakBefore w:val="0"/>
              <w:widowControl/>
              <w:kinsoku/>
              <w:wordWrap/>
              <w:overflowPunct/>
              <w:topLinePunct w:val="0"/>
              <w:bidi w:val="0"/>
              <w:spacing w:line="400" w:lineRule="exact"/>
              <w:jc w:val="center"/>
              <w:textAlignment w:val="auto"/>
              <w:rPr>
                <w:rFonts w:hint="default" w:eastAsia="宋体"/>
                <w:kern w:val="0"/>
                <w:szCs w:val="21"/>
                <w:highlight w:val="none"/>
                <w:lang w:val="en-US" w:eastAsia="zh-CN"/>
              </w:rPr>
            </w:pPr>
            <w:r>
              <w:rPr>
                <w:rFonts w:hint="default"/>
                <w:kern w:val="0"/>
                <w:szCs w:val="21"/>
                <w:highlight w:val="none"/>
              </w:rPr>
              <w:t>(30分)</w:t>
            </w:r>
          </w:p>
        </w:tc>
        <w:tc>
          <w:tcPr>
            <w:tcW w:w="7110" w:type="dxa"/>
            <w:noWrap w:val="0"/>
            <w:vAlign w:val="center"/>
          </w:tcPr>
          <w:p>
            <w:pPr>
              <w:pageBreakBefore w:val="0"/>
              <w:widowControl/>
              <w:kinsoku/>
              <w:wordWrap/>
              <w:overflowPunct/>
              <w:topLinePunct w:val="0"/>
              <w:bidi w:val="0"/>
              <w:spacing w:line="400" w:lineRule="exact"/>
              <w:jc w:val="left"/>
              <w:textAlignment w:val="auto"/>
              <w:rPr>
                <w:rFonts w:hint="default"/>
                <w:kern w:val="0"/>
                <w:szCs w:val="21"/>
                <w:highlight w:val="none"/>
              </w:rPr>
            </w:pPr>
            <w:r>
              <w:rPr>
                <w:rFonts w:hint="default"/>
                <w:kern w:val="0"/>
                <w:szCs w:val="21"/>
                <w:highlight w:val="none"/>
              </w:rPr>
              <w:t>采购人设置</w:t>
            </w:r>
            <w:r>
              <w:rPr>
                <w:rFonts w:hint="eastAsia"/>
                <w:kern w:val="0"/>
                <w:szCs w:val="21"/>
                <w:highlight w:val="none"/>
                <w:lang w:eastAsia="zh-CN"/>
              </w:rPr>
              <w:t>响应</w:t>
            </w:r>
            <w:r>
              <w:rPr>
                <w:rFonts w:hint="default"/>
                <w:kern w:val="0"/>
                <w:szCs w:val="21"/>
                <w:highlight w:val="none"/>
              </w:rPr>
              <w:t>报价最高限价，各</w:t>
            </w:r>
            <w:r>
              <w:rPr>
                <w:rFonts w:hint="eastAsia"/>
                <w:kern w:val="0"/>
                <w:szCs w:val="21"/>
                <w:highlight w:val="none"/>
                <w:lang w:val="en-US" w:eastAsia="zh-CN"/>
              </w:rPr>
              <w:t>响应</w:t>
            </w:r>
            <w:r>
              <w:rPr>
                <w:rFonts w:hint="default"/>
                <w:kern w:val="0"/>
                <w:szCs w:val="21"/>
                <w:highlight w:val="none"/>
              </w:rPr>
              <w:t>人有效报价不得高于最高限价，否则，其</w:t>
            </w:r>
            <w:r>
              <w:rPr>
                <w:rFonts w:hint="eastAsia"/>
                <w:kern w:val="0"/>
                <w:szCs w:val="21"/>
                <w:highlight w:val="none"/>
                <w:lang w:val="en-US" w:eastAsia="zh-CN"/>
              </w:rPr>
              <w:t>响应</w:t>
            </w:r>
            <w:r>
              <w:rPr>
                <w:rFonts w:hint="default"/>
                <w:kern w:val="0"/>
                <w:szCs w:val="21"/>
                <w:highlight w:val="none"/>
              </w:rPr>
              <w:t>文件按无效标处理。</w:t>
            </w:r>
          </w:p>
          <w:p>
            <w:pPr>
              <w:pageBreakBefore w:val="0"/>
              <w:widowControl/>
              <w:kinsoku/>
              <w:wordWrap/>
              <w:overflowPunct/>
              <w:topLinePunct w:val="0"/>
              <w:bidi w:val="0"/>
              <w:spacing w:line="400" w:lineRule="exact"/>
              <w:jc w:val="left"/>
              <w:textAlignment w:val="auto"/>
              <w:rPr>
                <w:rFonts w:hint="default"/>
                <w:kern w:val="0"/>
                <w:szCs w:val="21"/>
                <w:highlight w:val="none"/>
              </w:rPr>
            </w:pPr>
            <w:r>
              <w:rPr>
                <w:rFonts w:hint="default"/>
                <w:kern w:val="0"/>
                <w:szCs w:val="21"/>
                <w:highlight w:val="none"/>
              </w:rPr>
              <w:t>满足</w:t>
            </w:r>
            <w:r>
              <w:rPr>
                <w:rFonts w:hint="eastAsia"/>
                <w:kern w:val="0"/>
                <w:szCs w:val="21"/>
                <w:highlight w:val="none"/>
                <w:lang w:val="en-US" w:eastAsia="zh-CN"/>
              </w:rPr>
              <w:t>询比</w:t>
            </w:r>
            <w:r>
              <w:rPr>
                <w:rFonts w:hint="default"/>
                <w:kern w:val="0"/>
                <w:szCs w:val="21"/>
                <w:highlight w:val="none"/>
              </w:rPr>
              <w:t>文件要求且价格最低的有效</w:t>
            </w:r>
            <w:r>
              <w:rPr>
                <w:rFonts w:hint="eastAsia"/>
                <w:kern w:val="0"/>
                <w:szCs w:val="21"/>
                <w:highlight w:val="none"/>
                <w:lang w:eastAsia="zh-CN"/>
              </w:rPr>
              <w:t>响应</w:t>
            </w:r>
            <w:r>
              <w:rPr>
                <w:rFonts w:hint="default"/>
                <w:kern w:val="0"/>
                <w:szCs w:val="21"/>
                <w:highlight w:val="none"/>
              </w:rPr>
              <w:t>报价为评</w:t>
            </w:r>
            <w:r>
              <w:rPr>
                <w:rFonts w:hint="eastAsia"/>
                <w:kern w:val="0"/>
                <w:szCs w:val="21"/>
                <w:highlight w:val="none"/>
                <w:lang w:val="en-US" w:eastAsia="zh-CN"/>
              </w:rPr>
              <w:t>审</w:t>
            </w:r>
            <w:r>
              <w:rPr>
                <w:rFonts w:hint="default"/>
                <w:kern w:val="0"/>
                <w:szCs w:val="21"/>
                <w:highlight w:val="none"/>
              </w:rPr>
              <w:t>基准价，其价格分为满分，其他</w:t>
            </w:r>
            <w:r>
              <w:rPr>
                <w:rFonts w:hint="eastAsia"/>
                <w:kern w:val="0"/>
                <w:szCs w:val="21"/>
                <w:highlight w:val="none"/>
                <w:lang w:val="en-US" w:eastAsia="zh-CN"/>
              </w:rPr>
              <w:t>响应</w:t>
            </w:r>
            <w:r>
              <w:rPr>
                <w:rFonts w:hint="default"/>
                <w:kern w:val="0"/>
                <w:szCs w:val="21"/>
                <w:highlight w:val="none"/>
              </w:rPr>
              <w:t>人的报价得分统一按照下列公式计算：</w:t>
            </w:r>
            <w:r>
              <w:rPr>
                <w:rFonts w:hint="eastAsia"/>
                <w:kern w:val="0"/>
                <w:szCs w:val="21"/>
                <w:highlight w:val="none"/>
                <w:lang w:val="en-US" w:eastAsia="zh-CN"/>
              </w:rPr>
              <w:t>响应</w:t>
            </w:r>
            <w:r>
              <w:rPr>
                <w:rFonts w:hint="default"/>
                <w:kern w:val="0"/>
                <w:szCs w:val="21"/>
                <w:highlight w:val="none"/>
              </w:rPr>
              <w:t>报价得分=（评</w:t>
            </w:r>
            <w:r>
              <w:rPr>
                <w:rFonts w:hint="eastAsia"/>
                <w:kern w:val="0"/>
                <w:szCs w:val="21"/>
                <w:highlight w:val="none"/>
                <w:lang w:val="en-US" w:eastAsia="zh-CN"/>
              </w:rPr>
              <w:t>审</w:t>
            </w:r>
            <w:r>
              <w:rPr>
                <w:rFonts w:hint="default"/>
                <w:kern w:val="0"/>
                <w:szCs w:val="21"/>
                <w:highlight w:val="none"/>
              </w:rPr>
              <w:t>基准价/</w:t>
            </w:r>
            <w:r>
              <w:rPr>
                <w:rFonts w:hint="eastAsia"/>
                <w:kern w:val="0"/>
                <w:szCs w:val="21"/>
                <w:highlight w:val="none"/>
                <w:lang w:val="en-US" w:eastAsia="zh-CN"/>
              </w:rPr>
              <w:t>响应</w:t>
            </w:r>
            <w:r>
              <w:rPr>
                <w:rFonts w:hint="default"/>
                <w:kern w:val="0"/>
                <w:szCs w:val="21"/>
                <w:highlight w:val="none"/>
              </w:rPr>
              <w:t>报价）×</w:t>
            </w:r>
            <w:r>
              <w:rPr>
                <w:rFonts w:hint="eastAsia"/>
                <w:kern w:val="0"/>
                <w:szCs w:val="21"/>
                <w:highlight w:val="none"/>
                <w:lang w:val="en-US" w:eastAsia="zh-CN"/>
              </w:rPr>
              <w:t>3</w:t>
            </w:r>
            <w:r>
              <w:rPr>
                <w:rFonts w:hint="default"/>
                <w:kern w:val="0"/>
                <w:szCs w:val="21"/>
                <w:highlight w:val="none"/>
              </w:rPr>
              <w:t>0（计算得分时，分值保留小数点后二位，第三位四舍五入）。</w:t>
            </w:r>
            <w:r>
              <w:rPr>
                <w:rFonts w:hint="eastAsia"/>
                <w:kern w:val="0"/>
                <w:szCs w:val="21"/>
                <w:highlight w:val="none"/>
                <w:lang w:val="en-US" w:eastAsia="zh-CN"/>
              </w:rPr>
              <w:t>响应</w:t>
            </w:r>
            <w:r>
              <w:rPr>
                <w:rFonts w:hint="default"/>
                <w:kern w:val="0"/>
                <w:szCs w:val="21"/>
                <w:highlight w:val="none"/>
              </w:rPr>
              <w:t>人报价为</w:t>
            </w:r>
            <w:r>
              <w:rPr>
                <w:rFonts w:hint="eastAsia"/>
                <w:kern w:val="0"/>
                <w:szCs w:val="21"/>
                <w:highlight w:val="none"/>
                <w:lang w:val="en-US" w:eastAsia="zh-CN"/>
              </w:rPr>
              <w:t>响应</w:t>
            </w:r>
            <w:r>
              <w:rPr>
                <w:rFonts w:hint="default"/>
                <w:kern w:val="0"/>
                <w:szCs w:val="21"/>
                <w:highlight w:val="none"/>
              </w:rPr>
              <w:t>函中</w:t>
            </w:r>
            <w:r>
              <w:rPr>
                <w:rFonts w:hint="eastAsia"/>
                <w:kern w:val="0"/>
                <w:szCs w:val="21"/>
                <w:highlight w:val="none"/>
                <w:lang w:val="en-US" w:eastAsia="zh-CN"/>
              </w:rPr>
              <w:t>响应</w:t>
            </w:r>
            <w:r>
              <w:rPr>
                <w:rFonts w:hint="default"/>
                <w:kern w:val="0"/>
                <w:szCs w:val="21"/>
                <w:highlight w:val="none"/>
              </w:rPr>
              <w:t>总价。</w:t>
            </w:r>
          </w:p>
          <w:p>
            <w:pPr>
              <w:pageBreakBefore w:val="0"/>
              <w:widowControl/>
              <w:kinsoku/>
              <w:wordWrap/>
              <w:overflowPunct/>
              <w:topLinePunct w:val="0"/>
              <w:bidi w:val="0"/>
              <w:spacing w:line="400" w:lineRule="exact"/>
              <w:jc w:val="left"/>
              <w:textAlignment w:val="auto"/>
              <w:rPr>
                <w:rFonts w:hint="default"/>
                <w:kern w:val="0"/>
                <w:szCs w:val="21"/>
                <w:highlight w:val="none"/>
              </w:rPr>
            </w:pPr>
            <w:r>
              <w:rPr>
                <w:rFonts w:hint="default"/>
                <w:kern w:val="0"/>
                <w:szCs w:val="21"/>
                <w:highlight w:val="none"/>
              </w:rPr>
              <w:t>注：评</w:t>
            </w:r>
            <w:r>
              <w:rPr>
                <w:rFonts w:hint="eastAsia"/>
                <w:kern w:val="0"/>
                <w:szCs w:val="21"/>
                <w:highlight w:val="none"/>
                <w:lang w:val="en-US" w:eastAsia="zh-CN"/>
              </w:rPr>
              <w:t>审小组</w:t>
            </w:r>
            <w:r>
              <w:rPr>
                <w:rFonts w:hint="default"/>
                <w:kern w:val="0"/>
                <w:szCs w:val="21"/>
                <w:highlight w:val="none"/>
              </w:rPr>
              <w:t>认为</w:t>
            </w:r>
            <w:r>
              <w:rPr>
                <w:rFonts w:hint="eastAsia"/>
                <w:kern w:val="0"/>
                <w:szCs w:val="21"/>
                <w:highlight w:val="none"/>
                <w:lang w:val="en-US" w:eastAsia="zh-CN"/>
              </w:rPr>
              <w:t>响应</w:t>
            </w:r>
            <w:r>
              <w:rPr>
                <w:rFonts w:hint="default"/>
                <w:kern w:val="0"/>
                <w:szCs w:val="21"/>
                <w:highlight w:val="none"/>
              </w:rPr>
              <w:t>人的报价明显低于其他通过符合性审查</w:t>
            </w:r>
            <w:r>
              <w:rPr>
                <w:rFonts w:hint="eastAsia"/>
                <w:kern w:val="0"/>
                <w:szCs w:val="21"/>
                <w:highlight w:val="none"/>
                <w:lang w:val="en-US" w:eastAsia="zh-CN"/>
              </w:rPr>
              <w:t>响应</w:t>
            </w:r>
            <w:r>
              <w:rPr>
                <w:rFonts w:hint="default"/>
                <w:kern w:val="0"/>
                <w:szCs w:val="21"/>
                <w:highlight w:val="none"/>
              </w:rPr>
              <w:t>人的报价，有可能影响产品质量或者不能诚信履约的，应当要求其在评</w:t>
            </w:r>
            <w:r>
              <w:rPr>
                <w:rFonts w:hint="eastAsia"/>
                <w:kern w:val="0"/>
                <w:szCs w:val="21"/>
                <w:highlight w:val="none"/>
                <w:lang w:val="en-US" w:eastAsia="zh-CN"/>
              </w:rPr>
              <w:t>审</w:t>
            </w:r>
            <w:r>
              <w:rPr>
                <w:rFonts w:hint="default"/>
                <w:kern w:val="0"/>
                <w:szCs w:val="21"/>
                <w:highlight w:val="none"/>
              </w:rPr>
              <w:t>现场合理的时间内提供书面说明，必要时提交相关证明材料；</w:t>
            </w:r>
            <w:r>
              <w:rPr>
                <w:rFonts w:hint="eastAsia"/>
                <w:kern w:val="0"/>
                <w:szCs w:val="21"/>
                <w:highlight w:val="none"/>
                <w:lang w:val="en-US" w:eastAsia="zh-CN"/>
              </w:rPr>
              <w:t>响应</w:t>
            </w:r>
            <w:r>
              <w:rPr>
                <w:rFonts w:hint="default"/>
                <w:kern w:val="0"/>
                <w:szCs w:val="21"/>
                <w:highlight w:val="none"/>
              </w:rPr>
              <w:t>人不能证明其报价合理性的，</w:t>
            </w:r>
            <w:r>
              <w:rPr>
                <w:rFonts w:hint="eastAsia"/>
                <w:kern w:val="0"/>
                <w:szCs w:val="21"/>
                <w:highlight w:val="none"/>
                <w:lang w:val="en-US" w:eastAsia="zh-CN"/>
              </w:rPr>
              <w:t>评审小组</w:t>
            </w:r>
            <w:r>
              <w:rPr>
                <w:rFonts w:hint="default"/>
                <w:kern w:val="0"/>
                <w:szCs w:val="21"/>
                <w:highlight w:val="none"/>
              </w:rPr>
              <w:t>应当将其作为无效</w:t>
            </w:r>
            <w:r>
              <w:rPr>
                <w:rFonts w:hint="eastAsia"/>
                <w:kern w:val="0"/>
                <w:szCs w:val="21"/>
                <w:highlight w:val="none"/>
                <w:lang w:val="en-US" w:eastAsia="zh-CN"/>
              </w:rPr>
              <w:t>响应</w:t>
            </w:r>
            <w:r>
              <w:rPr>
                <w:rFonts w:hint="default"/>
                <w:kern w:val="0"/>
                <w:szCs w:val="21"/>
                <w:highlight w:val="none"/>
              </w:rPr>
              <w:t>处理。</w:t>
            </w:r>
          </w:p>
        </w:tc>
      </w:tr>
    </w:tbl>
    <w:p>
      <w:pPr>
        <w:widowControl/>
        <w:jc w:val="left"/>
        <w:rPr>
          <w:rFonts w:ascii="Times New Roman" w:hAnsi="Times New Roman" w:eastAsia="宋体" w:cs="Times New Roman"/>
          <w:szCs w:val="21"/>
          <w:highlight w:val="none"/>
        </w:rPr>
      </w:pPr>
    </w:p>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1. 评审方法</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本次评审采用综合评分法。</w:t>
      </w:r>
      <w:r>
        <w:rPr>
          <w:rFonts w:hint="eastAsia" w:ascii="Times New Roman" w:hAnsi="Times New Roman" w:eastAsia="宋体" w:cs="Times New Roman"/>
          <w:highlight w:val="none"/>
        </w:rPr>
        <w:t>评审小组</w:t>
      </w:r>
      <w:r>
        <w:rPr>
          <w:rFonts w:ascii="Times New Roman" w:hAnsi="Times New Roman" w:eastAsia="宋体" w:cs="Times New Roman"/>
          <w:highlight w:val="none"/>
        </w:rPr>
        <w:t>对满足询比文件实质性要求的响应文件按照本章第2.2款的规定的评分标准进行打分，按照得分由高到低依次推荐成交候选人。如得分相同的，按照评审办法前附表中的规定确定成交候选人顺序。</w:t>
      </w:r>
    </w:p>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 评审标准</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2.1 初步评审标准</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2.1.1 形式评审标准：见评审办法前附表。</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2.1.2 资格评审标准：见评审办法前附表。</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2.1.3 响应性评审标准：见评审办法前附表。</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2.2 分值构成与评审标准</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2.2.1分值构成：</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（1）</w:t>
      </w:r>
      <w:r>
        <w:rPr>
          <w:rFonts w:hint="eastAsia" w:ascii="Times New Roman" w:hAnsi="Times New Roman" w:eastAsia="宋体" w:cs="Times New Roman"/>
          <w:highlight w:val="none"/>
        </w:rPr>
        <w:t>技术性能</w:t>
      </w:r>
      <w:r>
        <w:rPr>
          <w:rFonts w:ascii="Times New Roman" w:hAnsi="Times New Roman" w:eastAsia="宋体" w:cs="Times New Roman"/>
          <w:highlight w:val="none"/>
        </w:rPr>
        <w:t>：见评审办法前附表；</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（2）</w:t>
      </w:r>
      <w:r>
        <w:rPr>
          <w:rFonts w:hint="eastAsia" w:ascii="Times New Roman" w:hAnsi="Times New Roman" w:eastAsia="宋体" w:cs="Times New Roman"/>
          <w:highlight w:val="none"/>
        </w:rPr>
        <w:t>评审价</w:t>
      </w:r>
      <w:r>
        <w:rPr>
          <w:rFonts w:ascii="Times New Roman" w:hAnsi="Times New Roman" w:eastAsia="宋体" w:cs="Times New Roman"/>
          <w:highlight w:val="none"/>
        </w:rPr>
        <w:t>：见评审办法前附表。</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2.2.2 评审基准价计算</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评审基准价计算方法：见评审办法前附表。</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2.2.3 评审价的偏差率计算</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评审价的偏差率计算公式：见评审办法前附表。</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2.2.4评分标准：</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（1）</w:t>
      </w:r>
      <w:r>
        <w:rPr>
          <w:rFonts w:hint="eastAsia" w:ascii="Times New Roman" w:hAnsi="Times New Roman" w:eastAsia="宋体" w:cs="Times New Roman"/>
          <w:highlight w:val="none"/>
        </w:rPr>
        <w:t>技术性能</w:t>
      </w:r>
      <w:r>
        <w:rPr>
          <w:rFonts w:ascii="Times New Roman" w:hAnsi="Times New Roman" w:eastAsia="宋体" w:cs="Times New Roman"/>
          <w:highlight w:val="none"/>
        </w:rPr>
        <w:t>评分标准：见评审办法前附表；</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（2）</w:t>
      </w:r>
      <w:r>
        <w:rPr>
          <w:rFonts w:hint="eastAsia" w:ascii="Times New Roman" w:hAnsi="Times New Roman" w:eastAsia="宋体" w:cs="Times New Roman"/>
          <w:highlight w:val="none"/>
        </w:rPr>
        <w:t>评审价</w:t>
      </w:r>
      <w:r>
        <w:rPr>
          <w:rFonts w:ascii="Times New Roman" w:hAnsi="Times New Roman" w:eastAsia="宋体" w:cs="Times New Roman"/>
          <w:highlight w:val="none"/>
        </w:rPr>
        <w:t>评分标准：见评审办法前附表。</w:t>
      </w:r>
    </w:p>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 评审程序</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3.1 初步评审</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3.1.1</w:t>
      </w:r>
      <w:r>
        <w:rPr>
          <w:rFonts w:hint="eastAsia" w:ascii="Times New Roman" w:hAnsi="Times New Roman" w:eastAsia="宋体" w:cs="Times New Roman"/>
          <w:highlight w:val="none"/>
        </w:rPr>
        <w:t>评审小组</w:t>
      </w:r>
      <w:r>
        <w:rPr>
          <w:rFonts w:ascii="Times New Roman" w:hAnsi="Times New Roman" w:eastAsia="宋体" w:cs="Times New Roman"/>
          <w:highlight w:val="none"/>
        </w:rPr>
        <w:t>依据本章第2.1.1项、第2.1.2项、第2.1.3项规定的标准对响应文件进行评审。有一项不符合评审标准的，</w:t>
      </w:r>
      <w:r>
        <w:rPr>
          <w:rFonts w:hint="eastAsia" w:ascii="Times New Roman" w:hAnsi="Times New Roman" w:eastAsia="宋体" w:cs="Times New Roman"/>
          <w:highlight w:val="none"/>
        </w:rPr>
        <w:t>评审小组</w:t>
      </w:r>
      <w:r>
        <w:rPr>
          <w:rFonts w:ascii="Times New Roman" w:hAnsi="Times New Roman" w:eastAsia="宋体" w:cs="Times New Roman"/>
          <w:highlight w:val="none"/>
        </w:rPr>
        <w:t>应否决其</w:t>
      </w:r>
      <w:r>
        <w:rPr>
          <w:rFonts w:hint="eastAsia" w:ascii="Times New Roman" w:hAnsi="Times New Roman" w:eastAsia="宋体" w:cs="Times New Roman"/>
          <w:highlight w:val="none"/>
        </w:rPr>
        <w:t>响应文件</w:t>
      </w:r>
      <w:r>
        <w:rPr>
          <w:rFonts w:ascii="Times New Roman" w:hAnsi="Times New Roman" w:eastAsia="宋体" w:cs="Times New Roman"/>
          <w:highlight w:val="none"/>
        </w:rPr>
        <w:t>。</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3.1.</w:t>
      </w:r>
      <w:r>
        <w:rPr>
          <w:rFonts w:hint="eastAsia" w:ascii="Times New Roman" w:hAnsi="Times New Roman" w:eastAsia="宋体" w:cs="Times New Roman"/>
          <w:highlight w:val="none"/>
        </w:rPr>
        <w:t xml:space="preserve">2 </w:t>
      </w:r>
      <w:r>
        <w:rPr>
          <w:rFonts w:ascii="Times New Roman" w:hAnsi="Times New Roman" w:eastAsia="宋体" w:cs="Times New Roman"/>
          <w:highlight w:val="none"/>
        </w:rPr>
        <w:t>响应文件中填报的报价、</w:t>
      </w:r>
      <w:r>
        <w:rPr>
          <w:rFonts w:hint="eastAsia" w:ascii="Times New Roman" w:hAnsi="Times New Roman" w:eastAsia="宋体" w:cs="Times New Roman"/>
          <w:highlight w:val="none"/>
        </w:rPr>
        <w:t>交货期</w:t>
      </w:r>
      <w:r>
        <w:rPr>
          <w:rFonts w:ascii="Times New Roman" w:hAnsi="Times New Roman" w:eastAsia="宋体" w:cs="Times New Roman"/>
          <w:highlight w:val="none"/>
        </w:rPr>
        <w:t>、质量标准前后不一致时，</w:t>
      </w:r>
      <w:r>
        <w:rPr>
          <w:rFonts w:hint="eastAsia" w:ascii="Times New Roman" w:hAnsi="Times New Roman" w:eastAsia="宋体" w:cs="Times New Roman"/>
          <w:highlight w:val="none"/>
        </w:rPr>
        <w:t>按细微偏差处理，并</w:t>
      </w:r>
      <w:r>
        <w:rPr>
          <w:rFonts w:ascii="Times New Roman" w:hAnsi="Times New Roman" w:eastAsia="宋体" w:cs="Times New Roman"/>
          <w:highlight w:val="none"/>
        </w:rPr>
        <w:t>以报价函填报的为准</w:t>
      </w:r>
      <w:r>
        <w:rPr>
          <w:rFonts w:hint="eastAsia" w:ascii="Times New Roman" w:hAnsi="Times New Roman" w:eastAsia="宋体" w:cs="Times New Roman"/>
          <w:highlight w:val="none"/>
        </w:rPr>
        <w:t>。</w:t>
      </w:r>
    </w:p>
    <w:p>
      <w:pPr>
        <w:keepNext/>
        <w:keepLines/>
        <w:spacing w:before="120" w:after="120"/>
        <w:outlineLvl w:val="2"/>
        <w:rPr>
          <w:rFonts w:ascii="Times New Roman" w:hAnsi="Times New Roman" w:eastAsia="宋体" w:cs="Times New Roman"/>
          <w:highlight w:val="none"/>
        </w:rPr>
      </w:pPr>
      <w:r>
        <w:rPr>
          <w:rFonts w:ascii="Times New Roman" w:hAnsi="Times New Roman" w:eastAsia="黑体" w:cs="Times New Roman"/>
          <w:bCs/>
          <w:sz w:val="24"/>
          <w:szCs w:val="32"/>
          <w:highlight w:val="none"/>
        </w:rPr>
        <w:t>3.2 详细评审</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 xml:space="preserve">3.2.1 </w:t>
      </w:r>
      <w:r>
        <w:rPr>
          <w:rFonts w:hint="eastAsia" w:ascii="Times New Roman" w:hAnsi="Times New Roman" w:eastAsia="宋体" w:cs="Times New Roman"/>
          <w:highlight w:val="none"/>
        </w:rPr>
        <w:t>评审小组</w:t>
      </w:r>
      <w:r>
        <w:rPr>
          <w:rFonts w:ascii="Times New Roman" w:hAnsi="Times New Roman" w:eastAsia="宋体" w:cs="Times New Roman"/>
          <w:highlight w:val="none"/>
        </w:rPr>
        <w:t>按本章第2.2款规定的量化因素和分值进行打分，并计算出综合评估得分。</w:t>
      </w:r>
    </w:p>
    <w:p>
      <w:pPr>
        <w:spacing w:line="440" w:lineRule="exact"/>
        <w:ind w:firstLine="420" w:firstLineChars="200"/>
        <w:rPr>
          <w:rFonts w:ascii="Times New Roman" w:hAnsi="Times New Roman" w:eastAsia="宋体" w:cs="Times New Roman"/>
          <w:highlight w:val="none"/>
        </w:rPr>
      </w:pPr>
      <w:r>
        <w:rPr>
          <w:rFonts w:ascii="Times New Roman" w:hAnsi="Times New Roman" w:eastAsia="宋体" w:cs="Times New Roman"/>
          <w:highlight w:val="none"/>
        </w:rPr>
        <w:t>（1）按本章第2.2.4(1)目规定的评审因素和分值对</w:t>
      </w:r>
      <w:r>
        <w:rPr>
          <w:rFonts w:hint="eastAsia" w:ascii="Times New Roman" w:hAnsi="Times New Roman" w:eastAsia="宋体" w:cs="Times New Roman"/>
          <w:highlight w:val="none"/>
        </w:rPr>
        <w:t>技术性能</w:t>
      </w:r>
      <w:r>
        <w:rPr>
          <w:rFonts w:ascii="Times New Roman" w:hAnsi="Times New Roman" w:eastAsia="宋体" w:cs="Times New Roman"/>
          <w:highlight w:val="none"/>
        </w:rPr>
        <w:t>计算出得分I；</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（2）按本章第2.2.4(2)目规定的评审因素和分值对</w:t>
      </w:r>
      <w:r>
        <w:rPr>
          <w:rFonts w:hint="eastAsia" w:ascii="Times New Roman" w:hAnsi="Times New Roman" w:eastAsia="宋体" w:cs="Times New Roman"/>
          <w:highlight w:val="none"/>
        </w:rPr>
        <w:t>评审价</w:t>
      </w:r>
      <w:r>
        <w:rPr>
          <w:rFonts w:ascii="Times New Roman" w:hAnsi="Times New Roman" w:eastAsia="宋体" w:cs="Times New Roman"/>
          <w:highlight w:val="none"/>
        </w:rPr>
        <w:t>计算出得分II。</w:t>
      </w:r>
    </w:p>
    <w:p>
      <w:pPr>
        <w:spacing w:line="400" w:lineRule="exact"/>
        <w:ind w:firstLine="420" w:firstLineChars="200"/>
        <w:rPr>
          <w:rFonts w:ascii="Times New Roman" w:hAnsi="Times New Roman" w:eastAsia="宋体" w:cs="Times New Roman"/>
          <w:highlight w:val="none"/>
        </w:rPr>
      </w:pPr>
      <w:r>
        <w:rPr>
          <w:rFonts w:ascii="Times New Roman" w:hAnsi="Times New Roman" w:eastAsia="宋体" w:cs="Times New Roman"/>
          <w:highlight w:val="none"/>
        </w:rPr>
        <w:t>3.2.2 评分分值计算保留小数点后两位，小数点后第三位“四舍五入”。</w:t>
      </w:r>
    </w:p>
    <w:p>
      <w:pPr>
        <w:spacing w:line="400" w:lineRule="exact"/>
        <w:ind w:firstLine="420" w:firstLineChars="200"/>
        <w:rPr>
          <w:rFonts w:ascii="Times New Roman" w:hAnsi="Times New Roman" w:eastAsia="宋体" w:cs="Times New Roman"/>
          <w:highlight w:val="none"/>
        </w:rPr>
      </w:pPr>
      <w:r>
        <w:rPr>
          <w:rFonts w:ascii="Times New Roman" w:hAnsi="Times New Roman" w:eastAsia="宋体" w:cs="Times New Roman"/>
          <w:highlight w:val="none"/>
        </w:rPr>
        <w:t xml:space="preserve">3.2.3 </w:t>
      </w:r>
      <w:r>
        <w:rPr>
          <w:rFonts w:hint="eastAsia" w:ascii="Times New Roman" w:hAnsi="Times New Roman" w:eastAsia="宋体" w:cs="Times New Roman"/>
          <w:highlight w:val="none"/>
        </w:rPr>
        <w:t>评审小组成员对</w:t>
      </w:r>
      <w:r>
        <w:rPr>
          <w:rFonts w:ascii="Times New Roman" w:hAnsi="Times New Roman" w:eastAsia="宋体" w:cs="Times New Roman"/>
          <w:highlight w:val="none"/>
        </w:rPr>
        <w:t>供应商</w:t>
      </w:r>
      <w:r>
        <w:rPr>
          <w:rFonts w:hint="eastAsia" w:ascii="Times New Roman" w:hAnsi="Times New Roman" w:eastAsia="宋体" w:cs="Times New Roman"/>
          <w:highlight w:val="none"/>
        </w:rPr>
        <w:t>综合评分=I</w:t>
      </w:r>
      <w:r>
        <w:rPr>
          <w:rFonts w:ascii="Times New Roman" w:hAnsi="Times New Roman" w:eastAsia="宋体" w:cs="Times New Roman"/>
          <w:highlight w:val="none"/>
        </w:rPr>
        <w:t>+</w:t>
      </w:r>
      <w:r>
        <w:rPr>
          <w:rFonts w:hint="eastAsia" w:ascii="Times New Roman" w:hAnsi="Times New Roman" w:eastAsia="宋体" w:cs="Times New Roman"/>
          <w:highlight w:val="none"/>
        </w:rPr>
        <w:t>II，供应商最终得分为各评审小组成员评分的算数平均值</w:t>
      </w:r>
      <w:r>
        <w:rPr>
          <w:rFonts w:ascii="Times New Roman" w:hAnsi="Times New Roman" w:eastAsia="宋体"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 xml:space="preserve">3.3 </w:t>
      </w:r>
      <w:r>
        <w:rPr>
          <w:rFonts w:hint="eastAsia" w:ascii="Times New Roman" w:hAnsi="Times New Roman" w:eastAsia="黑体" w:cs="Times New Roman"/>
          <w:bCs/>
          <w:sz w:val="24"/>
          <w:szCs w:val="32"/>
          <w:highlight w:val="none"/>
        </w:rPr>
        <w:t>否决响应文件</w:t>
      </w:r>
      <w:r>
        <w:rPr>
          <w:rFonts w:ascii="Times New Roman" w:hAnsi="Times New Roman" w:eastAsia="黑体" w:cs="Times New Roman"/>
          <w:bCs/>
          <w:sz w:val="24"/>
          <w:szCs w:val="32"/>
          <w:highlight w:val="none"/>
        </w:rPr>
        <w:t>的其他情形</w:t>
      </w:r>
    </w:p>
    <w:p>
      <w:pPr>
        <w:spacing w:line="440" w:lineRule="exact"/>
        <w:ind w:firstLine="420"/>
        <w:rPr>
          <w:rFonts w:ascii="Times New Roman" w:hAnsi="Times New Roman" w:eastAsia="宋体" w:cs="Times New Roman"/>
          <w:highlight w:val="none"/>
        </w:rPr>
      </w:pPr>
      <w:r>
        <w:rPr>
          <w:rFonts w:hint="eastAsia" w:ascii="Times New Roman" w:hAnsi="Times New Roman" w:eastAsia="宋体" w:cs="Times New Roman"/>
          <w:highlight w:val="none"/>
        </w:rPr>
        <w:t>评审小组</w:t>
      </w:r>
      <w:r>
        <w:rPr>
          <w:rFonts w:ascii="Times New Roman" w:hAnsi="Times New Roman" w:eastAsia="宋体" w:cs="Times New Roman"/>
          <w:highlight w:val="none"/>
        </w:rPr>
        <w:t>应对在评审过程中发现供应商存在串通报价、弄虚作假、行贿等违法行为的，</w:t>
      </w:r>
      <w:r>
        <w:rPr>
          <w:rFonts w:hint="eastAsia" w:ascii="Times New Roman" w:hAnsi="Times New Roman" w:eastAsia="宋体" w:cs="Times New Roman"/>
          <w:highlight w:val="none"/>
        </w:rPr>
        <w:t>评审小组</w:t>
      </w:r>
      <w:r>
        <w:rPr>
          <w:rFonts w:ascii="Times New Roman" w:hAnsi="Times New Roman" w:eastAsia="宋体" w:cs="Times New Roman"/>
          <w:highlight w:val="none"/>
        </w:rPr>
        <w:t>应否决其</w:t>
      </w:r>
      <w:r>
        <w:rPr>
          <w:rFonts w:hint="eastAsia" w:ascii="Times New Roman" w:hAnsi="Times New Roman" w:eastAsia="宋体" w:cs="Times New Roman"/>
          <w:highlight w:val="none"/>
        </w:rPr>
        <w:t>响应文件</w:t>
      </w:r>
      <w:r>
        <w:rPr>
          <w:rFonts w:ascii="Times New Roman" w:hAnsi="Times New Roman" w:eastAsia="宋体"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3.4 响应文件的澄清</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3.4.1 在评审过程中，</w:t>
      </w:r>
      <w:r>
        <w:rPr>
          <w:rFonts w:hint="eastAsia" w:ascii="Times New Roman" w:hAnsi="Times New Roman" w:eastAsia="宋体" w:cs="Times New Roman"/>
          <w:highlight w:val="none"/>
        </w:rPr>
        <w:t>评审小组</w:t>
      </w:r>
      <w:r>
        <w:rPr>
          <w:rFonts w:ascii="Times New Roman" w:hAnsi="Times New Roman" w:eastAsia="宋体" w:cs="Times New Roman"/>
          <w:highlight w:val="none"/>
        </w:rPr>
        <w:t>可以书面形式要求供应商对响应文件中含义不明确、对同类问题表述不一致或者有明显文字</w:t>
      </w:r>
      <w:r>
        <w:rPr>
          <w:rFonts w:hint="eastAsia" w:ascii="Times New Roman" w:hAnsi="Times New Roman" w:eastAsia="宋体" w:cs="Times New Roman"/>
          <w:highlight w:val="none"/>
        </w:rPr>
        <w:t>错误</w:t>
      </w:r>
      <w:r>
        <w:rPr>
          <w:rFonts w:ascii="Times New Roman" w:hAnsi="Times New Roman" w:eastAsia="宋体" w:cs="Times New Roman"/>
          <w:highlight w:val="none"/>
        </w:rPr>
        <w:t>的内容做必要的澄清。</w:t>
      </w:r>
      <w:r>
        <w:rPr>
          <w:rFonts w:hint="eastAsia" w:ascii="Times New Roman" w:hAnsi="Times New Roman" w:eastAsia="宋体" w:cs="Times New Roman"/>
          <w:highlight w:val="none"/>
        </w:rPr>
        <w:t>评审小组</w:t>
      </w:r>
      <w:r>
        <w:rPr>
          <w:rFonts w:ascii="Times New Roman" w:hAnsi="Times New Roman" w:eastAsia="宋体" w:cs="Times New Roman"/>
          <w:highlight w:val="none"/>
        </w:rPr>
        <w:t>不接受供应商主动提出的澄清。</w:t>
      </w:r>
    </w:p>
    <w:p>
      <w:pPr>
        <w:spacing w:line="440" w:lineRule="exact"/>
        <w:ind w:firstLine="420"/>
        <w:rPr>
          <w:rFonts w:ascii="Times New Roman" w:hAnsi="Times New Roman" w:eastAsia="宋体" w:cs="Times New Roman"/>
          <w:strike/>
          <w:highlight w:val="none"/>
        </w:rPr>
      </w:pPr>
      <w:r>
        <w:rPr>
          <w:rFonts w:ascii="Times New Roman" w:hAnsi="Times New Roman" w:eastAsia="宋体" w:cs="Times New Roman"/>
          <w:highlight w:val="none"/>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w:t>
      </w:r>
      <w:r>
        <w:rPr>
          <w:rFonts w:hint="eastAsia" w:ascii="Times New Roman" w:hAnsi="Times New Roman" w:eastAsia="黑体" w:cs="Times New Roman"/>
          <w:bCs/>
          <w:sz w:val="24"/>
          <w:szCs w:val="32"/>
          <w:highlight w:val="none"/>
        </w:rPr>
        <w:t>5</w:t>
      </w:r>
      <w:r>
        <w:rPr>
          <w:rFonts w:ascii="Times New Roman" w:hAnsi="Times New Roman" w:eastAsia="黑体" w:cs="Times New Roman"/>
          <w:bCs/>
          <w:sz w:val="24"/>
          <w:szCs w:val="32"/>
          <w:highlight w:val="none"/>
        </w:rPr>
        <w:t>评审结果</w:t>
      </w:r>
    </w:p>
    <w:p>
      <w:pPr>
        <w:spacing w:line="440" w:lineRule="exact"/>
        <w:ind w:firstLine="420"/>
        <w:rPr>
          <w:rFonts w:ascii="Times New Roman" w:hAnsi="Times New Roman" w:eastAsia="宋体" w:cs="Times New Roman"/>
          <w:highlight w:val="none"/>
        </w:rPr>
      </w:pPr>
      <w:r>
        <w:rPr>
          <w:rFonts w:hint="eastAsia" w:ascii="Times New Roman" w:hAnsi="Times New Roman" w:eastAsia="宋体" w:cs="Times New Roman"/>
          <w:highlight w:val="none"/>
        </w:rPr>
        <w:t>评审小组</w:t>
      </w:r>
      <w:r>
        <w:rPr>
          <w:rFonts w:ascii="Times New Roman" w:hAnsi="Times New Roman" w:eastAsia="宋体" w:cs="Times New Roman"/>
          <w:highlight w:val="none"/>
        </w:rPr>
        <w:t>完成评审后，应当向采购人提交评审报告。评审报告应当如实记载以下内容：</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（一）采购项目基本情况</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（二）采购过程回顾</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（三）评审小组成员名单</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（四）询比评审工作</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1、评审办法</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2、初步评审情况（资格审查、形式性审查、响应性审查）</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3、</w:t>
      </w:r>
      <w:r>
        <w:rPr>
          <w:rFonts w:hint="eastAsia" w:ascii="Times New Roman" w:hAnsi="Times New Roman" w:eastAsia="宋体" w:cs="Times New Roman"/>
          <w:highlight w:val="none"/>
        </w:rPr>
        <w:t>详细评审情况（</w:t>
      </w:r>
      <w:r>
        <w:rPr>
          <w:rFonts w:ascii="Times New Roman" w:hAnsi="Times New Roman" w:eastAsia="宋体" w:cs="Times New Roman"/>
          <w:highlight w:val="none"/>
        </w:rPr>
        <w:t>供应商的</w:t>
      </w:r>
      <w:r>
        <w:rPr>
          <w:rFonts w:hint="eastAsia" w:ascii="Times New Roman" w:hAnsi="Times New Roman" w:eastAsia="宋体" w:cs="Times New Roman"/>
          <w:highlight w:val="none"/>
        </w:rPr>
        <w:t>综合</w:t>
      </w:r>
      <w:r>
        <w:rPr>
          <w:rFonts w:ascii="Times New Roman" w:hAnsi="Times New Roman" w:eastAsia="宋体" w:cs="Times New Roman"/>
          <w:highlight w:val="none"/>
        </w:rPr>
        <w:t>评分情况</w:t>
      </w:r>
      <w:r>
        <w:rPr>
          <w:rFonts w:hint="eastAsia" w:ascii="Times New Roman" w:hAnsi="Times New Roman" w:eastAsia="宋体" w:cs="Times New Roman"/>
          <w:highlight w:val="none"/>
        </w:rPr>
        <w:t>）</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4、否决的供应商名单以及否决理由（如有）</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5、推荐候选供应商排序</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（五）需要说明的其他事项</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（六）评审附表</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1、响应文</w:t>
      </w:r>
      <w:r>
        <w:rPr>
          <w:rFonts w:hint="eastAsia" w:ascii="Times New Roman" w:hAnsi="Times New Roman" w:eastAsia="宋体" w:cs="Times New Roman"/>
          <w:highlight w:val="none"/>
        </w:rPr>
        <w:t>登记</w:t>
      </w:r>
      <w:r>
        <w:rPr>
          <w:rFonts w:ascii="Times New Roman" w:hAnsi="Times New Roman" w:eastAsia="宋体" w:cs="Times New Roman"/>
          <w:highlight w:val="none"/>
        </w:rPr>
        <w:t>表</w:t>
      </w:r>
    </w:p>
    <w:p>
      <w:pPr>
        <w:spacing w:line="440" w:lineRule="exact"/>
        <w:ind w:firstLine="420"/>
        <w:rPr>
          <w:rFonts w:ascii="Times New Roman" w:hAnsi="Times New Roman" w:eastAsia="宋体" w:cs="Times New Roman"/>
          <w:highlight w:val="none"/>
        </w:rPr>
      </w:pPr>
      <w:r>
        <w:rPr>
          <w:rFonts w:ascii="Times New Roman" w:hAnsi="Times New Roman" w:eastAsia="宋体" w:cs="Times New Roman"/>
          <w:highlight w:val="none"/>
        </w:rPr>
        <w:t>2、评审表格</w:t>
      </w:r>
    </w:p>
    <w:p>
      <w:pPr>
        <w:rPr>
          <w:rFonts w:ascii="等线" w:hAnsi="等线" w:eastAsia="等线" w:cs="Times New Roman"/>
          <w:szCs w:val="22"/>
          <w:highlight w:val="none"/>
        </w:rPr>
      </w:pPr>
    </w:p>
    <w:p>
      <w:pPr>
        <w:keepNext/>
        <w:keepLines/>
        <w:spacing w:before="156" w:beforeLines="50" w:after="156" w:afterLines="50"/>
        <w:outlineLvl w:val="1"/>
        <w:rPr>
          <w:rFonts w:ascii="Times New Roman" w:hAnsi="Times New Roman" w:cs="Times New Roman"/>
          <w:highlight w:val="none"/>
        </w:rPr>
      </w:pPr>
      <w:r>
        <w:rPr>
          <w:rFonts w:ascii="Times New Roman" w:hAnsi="Times New Roman" w:eastAsia="黑体" w:cs="Times New Roman"/>
          <w:sz w:val="29"/>
          <w:szCs w:val="29"/>
          <w:highlight w:val="none"/>
        </w:rPr>
        <w:br w:type="page"/>
      </w:r>
    </w:p>
    <w:p>
      <w:pPr>
        <w:pStyle w:val="2"/>
        <w:numPr>
          <w:ilvl w:val="0"/>
          <w:numId w:val="0"/>
        </w:numPr>
        <w:spacing w:before="312" w:after="312"/>
        <w:rPr>
          <w:rFonts w:ascii="Times New Roman" w:hAnsi="Times New Roman" w:eastAsia="宋体" w:cs="Times New Roman"/>
          <w:highlight w:val="none"/>
        </w:rPr>
      </w:pPr>
      <w:bookmarkStart w:id="76" w:name="_Toc10990_WPSOffice_Level1"/>
      <w:r>
        <w:rPr>
          <w:rFonts w:hint="eastAsia" w:ascii="Times New Roman" w:hAnsi="Times New Roman" w:eastAsia="宋体" w:cs="Times New Roman"/>
          <w:highlight w:val="none"/>
        </w:rPr>
        <w:t>第四章</w:t>
      </w:r>
      <w:r>
        <w:rPr>
          <w:rFonts w:hint="eastAsia" w:ascii="Times New Roman" w:hAnsi="Times New Roman" w:eastAsia="宋体" w:cs="Times New Roman"/>
          <w:highlight w:val="none"/>
          <w:lang w:val="en-US" w:eastAsia="zh-CN"/>
        </w:rPr>
        <w:t xml:space="preserve">  </w:t>
      </w:r>
      <w:r>
        <w:rPr>
          <w:rFonts w:ascii="Times New Roman" w:hAnsi="Times New Roman" w:eastAsia="宋体" w:cs="Times New Roman"/>
          <w:highlight w:val="none"/>
        </w:rPr>
        <w:t>合同内容</w:t>
      </w:r>
      <w:bookmarkEnd w:id="76"/>
    </w:p>
    <w:p>
      <w:pPr>
        <w:ind w:firstLine="3840" w:firstLineChars="1200"/>
        <w:rPr>
          <w:rFonts w:ascii="Times New Roman" w:hAnsi="Times New Roman" w:eastAsia="黑体" w:cs="Times New Roman"/>
          <w:sz w:val="32"/>
          <w:szCs w:val="32"/>
          <w:highlight w:val="none"/>
        </w:rPr>
      </w:pPr>
      <w:bookmarkStart w:id="77" w:name="_bookmark259"/>
      <w:bookmarkEnd w:id="77"/>
      <w:bookmarkStart w:id="78" w:name="_Toc501460622"/>
      <w:r>
        <w:rPr>
          <w:rFonts w:hint="eastAsia" w:ascii="Times New Roman" w:hAnsi="Times New Roman" w:eastAsia="黑体" w:cs="Times New Roman"/>
          <w:sz w:val="32"/>
          <w:szCs w:val="32"/>
          <w:highlight w:val="none"/>
        </w:rPr>
        <w:t>设备采购</w:t>
      </w:r>
      <w:r>
        <w:rPr>
          <w:rFonts w:ascii="Times New Roman" w:hAnsi="Times New Roman" w:eastAsia="黑体" w:cs="Times New Roman"/>
          <w:sz w:val="32"/>
          <w:szCs w:val="32"/>
          <w:highlight w:val="none"/>
        </w:rPr>
        <w:t>合同</w:t>
      </w:r>
    </w:p>
    <w:p>
      <w:pPr>
        <w:ind w:firstLine="7200" w:firstLineChars="3000"/>
        <w:rPr>
          <w:rFonts w:ascii="Times New Roman" w:hAnsi="Times New Roman" w:cs="Times New Roman"/>
          <w:sz w:val="24"/>
          <w:highlight w:val="none"/>
        </w:rPr>
      </w:pPr>
      <w:r>
        <w:rPr>
          <w:rFonts w:hint="eastAsia" w:ascii="Times New Roman" w:hAnsi="Times New Roman" w:cs="Times New Roman"/>
          <w:sz w:val="24"/>
          <w:highlight w:val="none"/>
        </w:rPr>
        <w:t>合同号：</w:t>
      </w:r>
    </w:p>
    <w:bookmarkEnd w:id="78"/>
    <w:p>
      <w:pPr>
        <w:kinsoku w:val="0"/>
        <w:autoSpaceDE w:val="0"/>
        <w:autoSpaceDN w:val="0"/>
        <w:adjustRightInd w:val="0"/>
        <w:snapToGrid w:val="0"/>
        <w:spacing w:before="78" w:line="355" w:lineRule="auto"/>
        <w:ind w:left="39"/>
        <w:jc w:val="left"/>
        <w:textAlignment w:val="baseline"/>
        <w:rPr>
          <w:rFonts w:ascii="宋体" w:hAnsi="宋体" w:eastAsia="宋体" w:cs="宋体"/>
          <w:snapToGrid w:val="0"/>
          <w:color w:val="000000"/>
          <w:kern w:val="0"/>
          <w:sz w:val="22"/>
          <w:szCs w:val="22"/>
          <w:highlight w:val="none"/>
          <w:lang w:val="en-US" w:eastAsia="en-US" w:bidi="ar-SA"/>
        </w:rPr>
      </w:pPr>
      <w:r>
        <w:rPr>
          <w:rFonts w:hint="eastAsia" w:ascii="宋体" w:hAnsi="宋体" w:eastAsia="宋体" w:cs="宋体"/>
          <w:snapToGrid w:val="0"/>
          <w:color w:val="000000"/>
          <w:spacing w:val="-14"/>
          <w:kern w:val="0"/>
          <w:sz w:val="22"/>
          <w:szCs w:val="22"/>
          <w:highlight w:val="none"/>
          <w:lang w:val="en-US" w:eastAsia="zh-CN" w:bidi="ar-SA"/>
        </w:rPr>
        <w:t>采购</w:t>
      </w:r>
      <w:r>
        <w:rPr>
          <w:rFonts w:ascii="宋体" w:hAnsi="宋体" w:eastAsia="宋体" w:cs="宋体"/>
          <w:snapToGrid w:val="0"/>
          <w:color w:val="000000"/>
          <w:spacing w:val="-14"/>
          <w:kern w:val="0"/>
          <w:sz w:val="22"/>
          <w:szCs w:val="22"/>
          <w:highlight w:val="none"/>
          <w:lang w:val="en-US" w:eastAsia="en-US" w:bidi="ar-SA"/>
        </w:rPr>
        <w:t>人（甲方</w:t>
      </w:r>
      <w:r>
        <w:rPr>
          <w:rFonts w:ascii="宋体" w:hAnsi="宋体" w:eastAsia="宋体" w:cs="宋体"/>
          <w:snapToGrid w:val="0"/>
          <w:color w:val="000000"/>
          <w:spacing w:val="-30"/>
          <w:kern w:val="0"/>
          <w:sz w:val="22"/>
          <w:szCs w:val="22"/>
          <w:highlight w:val="none"/>
          <w:lang w:val="en-US" w:eastAsia="en-US" w:bidi="ar-SA"/>
        </w:rPr>
        <w:t>）</w:t>
      </w:r>
      <w:r>
        <w:rPr>
          <w:rFonts w:ascii="宋体" w:hAnsi="宋体" w:eastAsia="宋体" w:cs="宋体"/>
          <w:snapToGrid w:val="0"/>
          <w:color w:val="000000"/>
          <w:spacing w:val="49"/>
          <w:kern w:val="0"/>
          <w:sz w:val="22"/>
          <w:szCs w:val="22"/>
          <w:highlight w:val="none"/>
          <w:lang w:val="en-US" w:eastAsia="en-US" w:bidi="ar-SA"/>
        </w:rPr>
        <w:t xml:space="preserve"> </w:t>
      </w:r>
      <w:r>
        <w:rPr>
          <w:rFonts w:ascii="宋体" w:hAnsi="宋体" w:eastAsia="宋体" w:cs="宋体"/>
          <w:snapToGrid w:val="0"/>
          <w:color w:val="000000"/>
          <w:spacing w:val="-30"/>
          <w:kern w:val="0"/>
          <w:sz w:val="22"/>
          <w:szCs w:val="22"/>
          <w:highlight w:val="none"/>
          <w:u w:val="none" w:color="auto"/>
          <w:lang w:val="en-US" w:eastAsia="en-US" w:bidi="ar-SA"/>
        </w:rPr>
        <w:t>：</w:t>
      </w:r>
      <w:r>
        <w:rPr>
          <w:rFonts w:hint="eastAsia" w:ascii="宋体" w:hAnsi="宋体" w:eastAsia="宋体" w:cs="宋体"/>
          <w:snapToGrid w:val="0"/>
          <w:color w:val="000000"/>
          <w:kern w:val="0"/>
          <w:sz w:val="22"/>
          <w:szCs w:val="22"/>
          <w:highlight w:val="none"/>
          <w:u w:val="single" w:color="auto"/>
          <w:lang w:val="en-US" w:eastAsia="en-US" w:bidi="ar-SA"/>
        </w:rPr>
        <w:t>安徽交运集团汽车销售有限公司</w:t>
      </w:r>
    </w:p>
    <w:p>
      <w:pPr>
        <w:kinsoku w:val="0"/>
        <w:autoSpaceDE w:val="0"/>
        <w:autoSpaceDN w:val="0"/>
        <w:adjustRightInd w:val="0"/>
        <w:snapToGrid w:val="0"/>
        <w:spacing w:before="1" w:line="223" w:lineRule="auto"/>
        <w:ind w:left="61"/>
        <w:jc w:val="left"/>
        <w:textAlignment w:val="baseline"/>
        <w:rPr>
          <w:rFonts w:hint="default" w:ascii="宋体" w:hAnsi="宋体" w:eastAsia="宋体" w:cs="宋体"/>
          <w:snapToGrid w:val="0"/>
          <w:color w:val="000000"/>
          <w:kern w:val="0"/>
          <w:sz w:val="22"/>
          <w:szCs w:val="22"/>
          <w:highlight w:val="none"/>
          <w:lang w:val="en-US" w:eastAsia="zh-CN" w:bidi="ar-SA"/>
        </w:rPr>
      </w:pPr>
      <w:r>
        <w:rPr>
          <w:rFonts w:hint="eastAsia" w:ascii="宋体" w:hAnsi="宋体" w:eastAsia="宋体" w:cs="宋体"/>
          <w:snapToGrid w:val="0"/>
          <w:color w:val="000000"/>
          <w:spacing w:val="-18"/>
          <w:kern w:val="0"/>
          <w:sz w:val="22"/>
          <w:szCs w:val="22"/>
          <w:highlight w:val="none"/>
          <w:lang w:val="en-US" w:eastAsia="zh-CN" w:bidi="ar-SA"/>
        </w:rPr>
        <w:t>成交</w:t>
      </w:r>
      <w:r>
        <w:rPr>
          <w:rFonts w:ascii="宋体" w:hAnsi="宋体" w:eastAsia="宋体" w:cs="宋体"/>
          <w:snapToGrid w:val="0"/>
          <w:color w:val="000000"/>
          <w:spacing w:val="-18"/>
          <w:kern w:val="0"/>
          <w:sz w:val="22"/>
          <w:szCs w:val="22"/>
          <w:highlight w:val="none"/>
          <w:lang w:val="en-US" w:eastAsia="en-US" w:bidi="ar-SA"/>
        </w:rPr>
        <w:t>人（乙方</w:t>
      </w:r>
      <w:r>
        <w:rPr>
          <w:rFonts w:ascii="宋体" w:hAnsi="宋体" w:eastAsia="宋体" w:cs="宋体"/>
          <w:snapToGrid w:val="0"/>
          <w:color w:val="000000"/>
          <w:spacing w:val="-29"/>
          <w:kern w:val="0"/>
          <w:sz w:val="22"/>
          <w:szCs w:val="22"/>
          <w:highlight w:val="none"/>
          <w:lang w:val="en-US" w:eastAsia="en-US" w:bidi="ar-SA"/>
        </w:rPr>
        <w:t>）</w:t>
      </w:r>
      <w:r>
        <w:rPr>
          <w:rFonts w:ascii="宋体" w:hAnsi="宋体" w:eastAsia="宋体" w:cs="宋体"/>
          <w:snapToGrid w:val="0"/>
          <w:color w:val="000000"/>
          <w:spacing w:val="49"/>
          <w:kern w:val="0"/>
          <w:sz w:val="22"/>
          <w:szCs w:val="22"/>
          <w:highlight w:val="none"/>
          <w:lang w:val="en-US" w:eastAsia="en-US" w:bidi="ar-SA"/>
        </w:rPr>
        <w:t xml:space="preserve"> </w:t>
      </w:r>
      <w:r>
        <w:rPr>
          <w:rFonts w:ascii="宋体" w:hAnsi="宋体" w:eastAsia="宋体" w:cs="宋体"/>
          <w:snapToGrid w:val="0"/>
          <w:color w:val="000000"/>
          <w:spacing w:val="-29"/>
          <w:kern w:val="0"/>
          <w:sz w:val="22"/>
          <w:szCs w:val="22"/>
          <w:highlight w:val="none"/>
          <w:u w:val="none" w:color="auto"/>
          <w:lang w:val="en-US" w:eastAsia="en-US" w:bidi="ar-SA"/>
        </w:rPr>
        <w:t>：</w:t>
      </w:r>
      <w:r>
        <w:rPr>
          <w:rFonts w:ascii="宋体" w:hAnsi="宋体" w:eastAsia="宋体" w:cs="宋体"/>
          <w:snapToGrid w:val="0"/>
          <w:color w:val="000000"/>
          <w:kern w:val="0"/>
          <w:sz w:val="22"/>
          <w:szCs w:val="22"/>
          <w:highlight w:val="none"/>
          <w:u w:val="single" w:color="auto"/>
          <w:lang w:val="en-US" w:eastAsia="en-US" w:bidi="ar-SA"/>
        </w:rPr>
        <w:t xml:space="preserve">                    </w:t>
      </w:r>
      <w:r>
        <w:rPr>
          <w:rFonts w:hint="eastAsia" w:ascii="宋体" w:hAnsi="宋体" w:eastAsia="宋体" w:cs="宋体"/>
          <w:snapToGrid w:val="0"/>
          <w:color w:val="000000"/>
          <w:kern w:val="0"/>
          <w:sz w:val="22"/>
          <w:szCs w:val="22"/>
          <w:highlight w:val="none"/>
          <w:u w:val="single" w:color="auto"/>
          <w:lang w:val="en-US" w:eastAsia="zh-CN" w:bidi="ar-SA"/>
        </w:rPr>
        <w:t xml:space="preserve">        </w:t>
      </w:r>
    </w:p>
    <w:p>
      <w:pPr>
        <w:kinsoku w:val="0"/>
        <w:autoSpaceDE w:val="0"/>
        <w:autoSpaceDN w:val="0"/>
        <w:adjustRightInd w:val="0"/>
        <w:snapToGrid w:val="0"/>
        <w:spacing w:before="183" w:line="355" w:lineRule="auto"/>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14"/>
          <w:kern w:val="0"/>
          <w:sz w:val="22"/>
          <w:szCs w:val="22"/>
          <w:highlight w:val="none"/>
          <w:lang w:val="en-US" w:eastAsia="en-US" w:bidi="ar-SA"/>
        </w:rPr>
        <w:t>签订地点：</w:t>
      </w:r>
      <w:r>
        <w:rPr>
          <w:rFonts w:ascii="宋体" w:hAnsi="宋体" w:eastAsia="宋体" w:cs="宋体"/>
          <w:snapToGrid w:val="0"/>
          <w:color w:val="000000"/>
          <w:spacing w:val="80"/>
          <w:kern w:val="0"/>
          <w:sz w:val="22"/>
          <w:szCs w:val="22"/>
          <w:highlight w:val="none"/>
          <w:lang w:val="en-US" w:eastAsia="en-US" w:bidi="ar-SA"/>
        </w:rPr>
        <w:t xml:space="preserve"> </w:t>
      </w:r>
      <w:r>
        <w:rPr>
          <w:rFonts w:ascii="宋体" w:hAnsi="宋体" w:eastAsia="宋体" w:cs="宋体"/>
          <w:snapToGrid w:val="0"/>
          <w:color w:val="000000"/>
          <w:spacing w:val="-14"/>
          <w:kern w:val="0"/>
          <w:sz w:val="22"/>
          <w:szCs w:val="22"/>
          <w:highlight w:val="none"/>
          <w:u w:val="single" w:color="auto"/>
          <w:lang w:val="en-US" w:eastAsia="en-US" w:bidi="ar-SA"/>
        </w:rPr>
        <w:t>安徽省合肥市</w:t>
      </w:r>
    </w:p>
    <w:p>
      <w:pPr>
        <w:kinsoku w:val="0"/>
        <w:autoSpaceDE w:val="0"/>
        <w:autoSpaceDN w:val="0"/>
        <w:adjustRightInd w:val="0"/>
        <w:snapToGrid w:val="0"/>
        <w:spacing w:before="1" w:line="223" w:lineRule="auto"/>
        <w:ind w:left="42"/>
        <w:jc w:val="left"/>
        <w:textAlignment w:val="baseline"/>
        <w:rPr>
          <w:rFonts w:hint="default" w:ascii="宋体" w:hAnsi="宋体" w:eastAsia="宋体" w:cs="宋体"/>
          <w:snapToGrid w:val="0"/>
          <w:color w:val="000000"/>
          <w:kern w:val="0"/>
          <w:sz w:val="22"/>
          <w:szCs w:val="22"/>
          <w:highlight w:val="none"/>
          <w:lang w:val="en-US" w:eastAsia="zh-CN" w:bidi="ar-SA"/>
        </w:rPr>
      </w:pPr>
      <w:r>
        <w:rPr>
          <w:rFonts w:ascii="宋体" w:hAnsi="宋体" w:eastAsia="宋体" w:cs="宋体"/>
          <w:snapToGrid w:val="0"/>
          <w:color w:val="000000"/>
          <w:spacing w:val="-34"/>
          <w:kern w:val="0"/>
          <w:sz w:val="22"/>
          <w:szCs w:val="22"/>
          <w:highlight w:val="none"/>
          <w:lang w:val="en-US" w:eastAsia="en-US" w:bidi="ar-SA"/>
        </w:rPr>
        <w:t>项目名称：</w:t>
      </w:r>
      <w:r>
        <w:rPr>
          <w:rFonts w:ascii="宋体" w:hAnsi="宋体" w:eastAsia="宋体" w:cs="宋体"/>
          <w:snapToGrid w:val="0"/>
          <w:color w:val="000000"/>
          <w:spacing w:val="61"/>
          <w:kern w:val="0"/>
          <w:sz w:val="22"/>
          <w:szCs w:val="22"/>
          <w:highlight w:val="none"/>
          <w:lang w:val="en-US" w:eastAsia="en-US" w:bidi="ar-SA"/>
        </w:rPr>
        <w:t xml:space="preserve"> </w:t>
      </w:r>
      <w:r>
        <w:rPr>
          <w:rFonts w:hint="eastAsia" w:ascii="宋体" w:hAnsi="宋体" w:eastAsia="宋体" w:cs="宋体"/>
          <w:snapToGrid w:val="0"/>
          <w:color w:val="000000"/>
          <w:kern w:val="0"/>
          <w:sz w:val="22"/>
          <w:szCs w:val="22"/>
          <w:highlight w:val="none"/>
          <w:u w:val="single" w:color="auto"/>
          <w:lang w:val="en-US" w:eastAsia="en-US" w:bidi="ar-SA"/>
        </w:rPr>
        <w:t>安徽交运集团安庆望江车辆磷酸铁锂动力电池更换项目</w:t>
      </w:r>
    </w:p>
    <w:p>
      <w:pPr>
        <w:widowControl/>
        <w:kinsoku w:val="0"/>
        <w:autoSpaceDE w:val="0"/>
        <w:autoSpaceDN w:val="0"/>
        <w:adjustRightInd w:val="0"/>
        <w:snapToGrid w:val="0"/>
        <w:spacing w:line="275" w:lineRule="auto"/>
        <w:jc w:val="left"/>
        <w:textAlignment w:val="baseline"/>
        <w:rPr>
          <w:rFonts w:ascii="Arial" w:hAnsi="Arial" w:eastAsia="Arial" w:cs="Arial"/>
          <w:snapToGrid w:val="0"/>
          <w:color w:val="000000"/>
          <w:kern w:val="0"/>
          <w:sz w:val="22"/>
          <w:szCs w:val="22"/>
          <w:highlight w:val="none"/>
          <w:lang w:eastAsia="en-US"/>
        </w:rPr>
      </w:pPr>
    </w:p>
    <w:p>
      <w:pPr>
        <w:widowControl/>
        <w:kinsoku w:val="0"/>
        <w:autoSpaceDE w:val="0"/>
        <w:autoSpaceDN w:val="0"/>
        <w:adjustRightInd w:val="0"/>
        <w:snapToGrid w:val="0"/>
        <w:spacing w:line="276" w:lineRule="auto"/>
        <w:jc w:val="left"/>
        <w:textAlignment w:val="baseline"/>
        <w:rPr>
          <w:rFonts w:ascii="Arial" w:hAnsi="Arial" w:eastAsia="Arial" w:cs="Arial"/>
          <w:snapToGrid w:val="0"/>
          <w:color w:val="000000"/>
          <w:kern w:val="0"/>
          <w:sz w:val="22"/>
          <w:szCs w:val="22"/>
          <w:highlight w:val="none"/>
          <w:lang w:eastAsia="en-US"/>
        </w:rPr>
      </w:pPr>
    </w:p>
    <w:p>
      <w:pPr>
        <w:kinsoku w:val="0"/>
        <w:autoSpaceDE w:val="0"/>
        <w:autoSpaceDN w:val="0"/>
        <w:adjustRightInd w:val="0"/>
        <w:snapToGrid w:val="0"/>
        <w:spacing w:before="78" w:line="360" w:lineRule="auto"/>
        <w:ind w:left="62" w:right="12" w:firstLine="597"/>
        <w:jc w:val="both"/>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1"/>
          <w:kern w:val="0"/>
          <w:sz w:val="22"/>
          <w:szCs w:val="22"/>
          <w:highlight w:val="none"/>
          <w:lang w:val="en-US" w:eastAsia="en-US" w:bidi="ar-SA"/>
        </w:rPr>
        <w:t>为进一步明确双方的责任，</w:t>
      </w:r>
      <w:r>
        <w:rPr>
          <w:rFonts w:ascii="宋体" w:hAnsi="宋体" w:eastAsia="宋体" w:cs="宋体"/>
          <w:snapToGrid w:val="0"/>
          <w:color w:val="000000"/>
          <w:spacing w:val="-30"/>
          <w:kern w:val="0"/>
          <w:sz w:val="22"/>
          <w:szCs w:val="22"/>
          <w:highlight w:val="none"/>
          <w:lang w:val="en-US" w:eastAsia="en-US" w:bidi="ar-SA"/>
        </w:rPr>
        <w:t xml:space="preserve"> </w:t>
      </w:r>
      <w:r>
        <w:rPr>
          <w:rFonts w:ascii="宋体" w:hAnsi="宋体" w:eastAsia="宋体" w:cs="宋体"/>
          <w:snapToGrid w:val="0"/>
          <w:color w:val="000000"/>
          <w:spacing w:val="-1"/>
          <w:kern w:val="0"/>
          <w:sz w:val="22"/>
          <w:szCs w:val="22"/>
          <w:highlight w:val="none"/>
          <w:lang w:val="en-US" w:eastAsia="en-US" w:bidi="ar-SA"/>
        </w:rPr>
        <w:t>确保合同的顺利履行，根据《中华人民共</w:t>
      </w:r>
      <w:r>
        <w:rPr>
          <w:rFonts w:ascii="宋体" w:hAnsi="宋体" w:eastAsia="宋体" w:cs="宋体"/>
          <w:snapToGrid w:val="0"/>
          <w:color w:val="000000"/>
          <w:spacing w:val="-2"/>
          <w:kern w:val="0"/>
          <w:sz w:val="22"/>
          <w:szCs w:val="22"/>
          <w:highlight w:val="none"/>
          <w:lang w:val="en-US" w:eastAsia="en-US" w:bidi="ar-SA"/>
        </w:rPr>
        <w:t>和国民</w:t>
      </w:r>
      <w:r>
        <w:rPr>
          <w:rFonts w:ascii="宋体" w:hAnsi="宋体" w:eastAsia="宋体" w:cs="宋体"/>
          <w:snapToGrid w:val="0"/>
          <w:color w:val="000000"/>
          <w:spacing w:val="-3"/>
          <w:kern w:val="0"/>
          <w:sz w:val="22"/>
          <w:szCs w:val="22"/>
          <w:highlight w:val="none"/>
          <w:lang w:val="en-US" w:eastAsia="en-US" w:bidi="ar-SA"/>
        </w:rPr>
        <w:t>法典》</w:t>
      </w:r>
      <w:r>
        <w:rPr>
          <w:rFonts w:hint="eastAsia" w:ascii="宋体" w:hAnsi="宋体" w:eastAsia="宋体" w:cs="宋体"/>
          <w:snapToGrid w:val="0"/>
          <w:color w:val="000000"/>
          <w:spacing w:val="-3"/>
          <w:kern w:val="0"/>
          <w:sz w:val="22"/>
          <w:szCs w:val="22"/>
          <w:highlight w:val="none"/>
          <w:lang w:val="en-US" w:eastAsia="zh-CN" w:bidi="ar-SA"/>
        </w:rPr>
        <w:t>等</w:t>
      </w:r>
      <w:r>
        <w:rPr>
          <w:rFonts w:ascii="宋体" w:hAnsi="宋体" w:eastAsia="宋体" w:cs="宋体"/>
          <w:snapToGrid w:val="0"/>
          <w:color w:val="000000"/>
          <w:spacing w:val="-3"/>
          <w:kern w:val="0"/>
          <w:sz w:val="22"/>
          <w:szCs w:val="22"/>
          <w:highlight w:val="none"/>
          <w:lang w:val="en-US" w:eastAsia="en-US" w:bidi="ar-SA"/>
        </w:rPr>
        <w:t>规定，经甲乙双方充分协商， 特订立本合同，以便共同遵守。</w:t>
      </w:r>
    </w:p>
    <w:p>
      <w:pPr>
        <w:kinsoku w:val="0"/>
        <w:autoSpaceDE w:val="0"/>
        <w:autoSpaceDN w:val="0"/>
        <w:adjustRightInd w:val="0"/>
        <w:snapToGrid w:val="0"/>
        <w:spacing w:before="187" w:line="223" w:lineRule="auto"/>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8"/>
          <w:kern w:val="0"/>
          <w:sz w:val="22"/>
          <w:szCs w:val="22"/>
          <w:highlight w:val="none"/>
          <w:lang w:val="en-US" w:eastAsia="en-US" w:bidi="ar-SA"/>
          <w14:textOutline w14:w="4441" w14:cap="flat" w14:cmpd="sng">
            <w14:solidFill>
              <w14:srgbClr w14:val="000000"/>
            </w14:solidFill>
            <w14:prstDash w14:val="solid"/>
            <w14:miter w14:val="0"/>
          </w14:textOutline>
        </w:rPr>
        <w:t>第一条</w:t>
      </w:r>
      <w:r>
        <w:rPr>
          <w:rFonts w:ascii="宋体" w:hAnsi="宋体" w:eastAsia="宋体" w:cs="宋体"/>
          <w:snapToGrid w:val="0"/>
          <w:color w:val="000000"/>
          <w:spacing w:val="1"/>
          <w:kern w:val="0"/>
          <w:sz w:val="22"/>
          <w:szCs w:val="22"/>
          <w:highlight w:val="none"/>
          <w:lang w:val="en-US" w:eastAsia="en-US" w:bidi="ar-SA"/>
        </w:rPr>
        <w:t xml:space="preserve">   </w:t>
      </w:r>
      <w:r>
        <w:rPr>
          <w:rFonts w:ascii="宋体" w:hAnsi="宋体" w:eastAsia="宋体" w:cs="宋体"/>
          <w:snapToGrid w:val="0"/>
          <w:color w:val="000000"/>
          <w:spacing w:val="8"/>
          <w:kern w:val="0"/>
          <w:sz w:val="22"/>
          <w:szCs w:val="22"/>
          <w:highlight w:val="none"/>
          <w:lang w:val="en-US" w:eastAsia="en-US" w:bidi="ar-SA"/>
          <w14:textOutline w14:w="4441" w14:cap="flat" w14:cmpd="sng">
            <w14:solidFill>
              <w14:srgbClr w14:val="000000"/>
            </w14:solidFill>
            <w14:prstDash w14:val="solid"/>
            <w14:miter w14:val="0"/>
          </w14:textOutline>
        </w:rPr>
        <w:t>总则</w:t>
      </w:r>
    </w:p>
    <w:p>
      <w:pPr>
        <w:kinsoku w:val="0"/>
        <w:autoSpaceDE w:val="0"/>
        <w:autoSpaceDN w:val="0"/>
        <w:adjustRightInd w:val="0"/>
        <w:snapToGrid w:val="0"/>
        <w:spacing w:before="171" w:line="360" w:lineRule="auto"/>
        <w:ind w:left="44" w:right="13" w:firstLine="470"/>
        <w:jc w:val="both"/>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27"/>
          <w:kern w:val="0"/>
          <w:sz w:val="22"/>
          <w:szCs w:val="22"/>
          <w:highlight w:val="none"/>
          <w:lang w:val="en-US" w:eastAsia="en-US" w:bidi="ar-SA"/>
        </w:rPr>
        <w:t>本</w:t>
      </w:r>
      <w:r>
        <w:rPr>
          <w:rFonts w:hint="eastAsia" w:ascii="宋体" w:hAnsi="宋体" w:eastAsia="宋体" w:cs="宋体"/>
          <w:snapToGrid w:val="0"/>
          <w:color w:val="000000"/>
          <w:spacing w:val="27"/>
          <w:kern w:val="0"/>
          <w:sz w:val="22"/>
          <w:szCs w:val="22"/>
          <w:highlight w:val="none"/>
          <w:lang w:val="en-US" w:eastAsia="zh-CN" w:bidi="ar-SA"/>
        </w:rPr>
        <w:t>项目</w:t>
      </w:r>
      <w:r>
        <w:rPr>
          <w:rFonts w:ascii="宋体" w:hAnsi="宋体" w:eastAsia="宋体" w:cs="宋体"/>
          <w:snapToGrid w:val="0"/>
          <w:color w:val="000000"/>
          <w:spacing w:val="27"/>
          <w:kern w:val="0"/>
          <w:sz w:val="22"/>
          <w:szCs w:val="22"/>
          <w:highlight w:val="none"/>
          <w:lang w:val="en-US" w:eastAsia="en-US" w:bidi="ar-SA"/>
        </w:rPr>
        <w:t>为</w:t>
      </w:r>
      <w:r>
        <w:rPr>
          <w:rFonts w:hint="eastAsia" w:ascii="宋体" w:hAnsi="宋体" w:eastAsia="宋体" w:cs="宋体"/>
          <w:snapToGrid w:val="0"/>
          <w:color w:val="000000"/>
          <w:spacing w:val="27"/>
          <w:kern w:val="0"/>
          <w:sz w:val="22"/>
          <w:szCs w:val="22"/>
          <w:highlight w:val="none"/>
          <w:u w:val="single" w:color="auto"/>
          <w:lang w:val="en-US" w:eastAsia="en-US" w:bidi="ar-SA"/>
        </w:rPr>
        <w:t>安徽交运集团安庆望江车辆磷酸铁锂动力电池更换项目</w:t>
      </w:r>
      <w:r>
        <w:rPr>
          <w:rFonts w:ascii="宋体" w:hAnsi="宋体" w:eastAsia="宋体" w:cs="宋体"/>
          <w:snapToGrid w:val="0"/>
          <w:color w:val="000000"/>
          <w:spacing w:val="-7"/>
          <w:kern w:val="0"/>
          <w:sz w:val="22"/>
          <w:szCs w:val="22"/>
          <w:highlight w:val="none"/>
          <w:lang w:val="en-US" w:eastAsia="en-US" w:bidi="ar-SA"/>
        </w:rPr>
        <w:t>，</w:t>
      </w:r>
      <w:r>
        <w:rPr>
          <w:rFonts w:hint="eastAsia" w:ascii="宋体" w:hAnsi="宋体" w:eastAsia="宋体" w:cs="宋体"/>
          <w:snapToGrid w:val="0"/>
          <w:color w:val="000000"/>
          <w:spacing w:val="-7"/>
          <w:kern w:val="0"/>
          <w:sz w:val="22"/>
          <w:szCs w:val="22"/>
          <w:highlight w:val="none"/>
          <w:lang w:val="en-US" w:eastAsia="zh-CN" w:bidi="ar-SA"/>
        </w:rPr>
        <w:t>乙方</w:t>
      </w:r>
      <w:r>
        <w:rPr>
          <w:rFonts w:ascii="宋体" w:hAnsi="宋体" w:eastAsia="宋体" w:cs="宋体"/>
          <w:snapToGrid w:val="0"/>
          <w:color w:val="000000"/>
          <w:spacing w:val="-7"/>
          <w:kern w:val="0"/>
          <w:sz w:val="22"/>
          <w:szCs w:val="22"/>
          <w:highlight w:val="none"/>
          <w:lang w:val="en-US" w:eastAsia="en-US" w:bidi="ar-SA"/>
        </w:rPr>
        <w:t>负责履约期内甲方所需的</w:t>
      </w:r>
      <w:r>
        <w:rPr>
          <w:rFonts w:hint="eastAsia" w:ascii="宋体" w:hAnsi="宋体" w:eastAsia="宋体" w:cs="宋体"/>
          <w:snapToGrid w:val="0"/>
          <w:color w:val="000000"/>
          <w:spacing w:val="-7"/>
          <w:kern w:val="0"/>
          <w:sz w:val="22"/>
          <w:szCs w:val="22"/>
          <w:highlight w:val="none"/>
          <w:u w:val="single" w:color="auto"/>
          <w:lang w:val="en-US" w:eastAsia="en-US" w:bidi="ar-SA"/>
        </w:rPr>
        <w:t xml:space="preserve">安徽交运集团安庆汽运有限公司望江城市公交分公司现有新能源公交客运车辆 </w:t>
      </w:r>
      <w:r>
        <w:rPr>
          <w:rFonts w:hint="eastAsia" w:ascii="宋体" w:hAnsi="宋体" w:eastAsia="宋体" w:cs="宋体"/>
          <w:snapToGrid w:val="0"/>
          <w:color w:val="000000"/>
          <w:spacing w:val="-7"/>
          <w:kern w:val="0"/>
          <w:sz w:val="22"/>
          <w:szCs w:val="22"/>
          <w:highlight w:val="none"/>
          <w:u w:val="single" w:color="auto"/>
          <w:lang w:val="en-US" w:eastAsia="zh-CN" w:bidi="ar-SA"/>
        </w:rPr>
        <w:t>2</w:t>
      </w:r>
      <w:r>
        <w:rPr>
          <w:rFonts w:hint="eastAsia" w:ascii="宋体" w:hAnsi="宋体" w:eastAsia="宋体" w:cs="宋体"/>
          <w:snapToGrid w:val="0"/>
          <w:color w:val="000000"/>
          <w:spacing w:val="-7"/>
          <w:kern w:val="0"/>
          <w:sz w:val="22"/>
          <w:szCs w:val="22"/>
          <w:highlight w:val="none"/>
          <w:u w:val="single" w:color="auto"/>
          <w:lang w:val="en-US" w:eastAsia="en-US" w:bidi="ar-SA"/>
        </w:rPr>
        <w:t>0 辆(安达尔客车8.1米型) ，采购磷酸铁锂动力电池组 (不得采用梯次电芯) 及相关组件对车辆原电池及相关组件进行更换，包括但不限于编制电池更换方案、车辆原电池的拆除、新电池的采购与安装、系统调试与试运行、产品维修保养以及相关配套服务等</w:t>
      </w:r>
      <w:r>
        <w:rPr>
          <w:rFonts w:ascii="宋体" w:hAnsi="宋体" w:eastAsia="宋体" w:cs="宋体"/>
          <w:snapToGrid w:val="0"/>
          <w:color w:val="000000"/>
          <w:spacing w:val="1"/>
          <w:kern w:val="0"/>
          <w:sz w:val="22"/>
          <w:szCs w:val="22"/>
          <w:highlight w:val="none"/>
          <w:lang w:val="en-US" w:eastAsia="en-US" w:bidi="ar-SA"/>
        </w:rPr>
        <w:t>，具体的供货数量以定点采购期内甲方实际采购数量为准。</w:t>
      </w:r>
    </w:p>
    <w:p>
      <w:pPr>
        <w:kinsoku w:val="0"/>
        <w:autoSpaceDE w:val="0"/>
        <w:autoSpaceDN w:val="0"/>
        <w:adjustRightInd w:val="0"/>
        <w:snapToGrid w:val="0"/>
        <w:spacing w:before="172" w:line="222" w:lineRule="auto"/>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10"/>
          <w:kern w:val="0"/>
          <w:sz w:val="22"/>
          <w:szCs w:val="22"/>
          <w:highlight w:val="none"/>
          <w:lang w:val="en-US" w:eastAsia="en-US" w:bidi="ar-SA"/>
          <w14:textOutline w14:w="4441" w14:cap="flat" w14:cmpd="sng">
            <w14:solidFill>
              <w14:srgbClr w14:val="000000"/>
            </w14:solidFill>
            <w14:prstDash w14:val="solid"/>
            <w14:miter w14:val="0"/>
          </w14:textOutline>
        </w:rPr>
        <w:t>第二条</w:t>
      </w:r>
      <w:r>
        <w:rPr>
          <w:rFonts w:ascii="宋体" w:hAnsi="宋体" w:eastAsia="宋体" w:cs="宋体"/>
          <w:snapToGrid w:val="0"/>
          <w:color w:val="000000"/>
          <w:spacing w:val="-22"/>
          <w:kern w:val="0"/>
          <w:sz w:val="22"/>
          <w:szCs w:val="22"/>
          <w:highlight w:val="none"/>
          <w:lang w:val="en-US" w:eastAsia="en-US" w:bidi="ar-SA"/>
        </w:rPr>
        <w:t xml:space="preserve"> </w:t>
      </w:r>
      <w:r>
        <w:rPr>
          <w:rFonts w:ascii="宋体" w:hAnsi="宋体" w:eastAsia="宋体" w:cs="宋体"/>
          <w:snapToGrid w:val="0"/>
          <w:color w:val="000000"/>
          <w:spacing w:val="10"/>
          <w:kern w:val="0"/>
          <w:sz w:val="22"/>
          <w:szCs w:val="22"/>
          <w:highlight w:val="none"/>
          <w:lang w:val="en-US" w:eastAsia="en-US" w:bidi="ar-SA"/>
          <w14:textOutline w14:w="4441" w14:cap="flat" w14:cmpd="sng">
            <w14:solidFill>
              <w14:srgbClr w14:val="000000"/>
            </w14:solidFill>
            <w14:prstDash w14:val="solid"/>
            <w14:miter w14:val="0"/>
          </w14:textOutline>
        </w:rPr>
        <w:t>合同总价</w:t>
      </w:r>
    </w:p>
    <w:p>
      <w:pPr>
        <w:keepNext w:val="0"/>
        <w:keepLines w:val="0"/>
        <w:pageBreakBefore w:val="0"/>
        <w:widowControl w:val="0"/>
        <w:kinsoku w:val="0"/>
        <w:wordWrap/>
        <w:overflowPunct/>
        <w:topLinePunct w:val="0"/>
        <w:autoSpaceDE w:val="0"/>
        <w:autoSpaceDN w:val="0"/>
        <w:bidi w:val="0"/>
        <w:adjustRightInd w:val="0"/>
        <w:snapToGrid w:val="0"/>
        <w:spacing w:before="187" w:line="500" w:lineRule="exact"/>
        <w:ind w:right="17" w:firstLine="436" w:firstLineChars="200"/>
        <w:jc w:val="both"/>
        <w:textAlignment w:val="baseline"/>
        <w:rPr>
          <w:rFonts w:hint="eastAsia" w:ascii="宋体" w:hAnsi="宋体" w:eastAsia="宋体" w:cs="宋体"/>
          <w:snapToGrid w:val="0"/>
          <w:color w:val="000000"/>
          <w:spacing w:val="-1"/>
          <w:kern w:val="0"/>
          <w:sz w:val="22"/>
          <w:szCs w:val="22"/>
          <w:highlight w:val="none"/>
          <w:lang w:val="en-US" w:eastAsia="zh-CN" w:bidi="ar-SA"/>
        </w:rPr>
      </w:pPr>
      <w:r>
        <w:rPr>
          <w:rFonts w:ascii="宋体" w:hAnsi="宋体" w:eastAsia="宋体" w:cs="宋体"/>
          <w:snapToGrid w:val="0"/>
          <w:color w:val="000000"/>
          <w:spacing w:val="-1"/>
          <w:kern w:val="0"/>
          <w:sz w:val="22"/>
          <w:szCs w:val="22"/>
          <w:highlight w:val="none"/>
          <w:lang w:val="en-US" w:eastAsia="en-US" w:bidi="ar-SA"/>
        </w:rPr>
        <w:t>1．本合同项目总价</w:t>
      </w:r>
      <w:r>
        <w:rPr>
          <w:rFonts w:ascii="宋体" w:hAnsi="宋体" w:eastAsia="宋体" w:cs="宋体"/>
          <w:snapToGrid w:val="0"/>
          <w:color w:val="000000"/>
          <w:spacing w:val="-28"/>
          <w:kern w:val="0"/>
          <w:sz w:val="22"/>
          <w:szCs w:val="22"/>
          <w:highlight w:val="none"/>
          <w:lang w:val="en-US" w:eastAsia="en-US" w:bidi="ar-SA"/>
        </w:rPr>
        <w:t xml:space="preserve"> </w:t>
      </w:r>
      <w:r>
        <w:rPr>
          <w:rFonts w:ascii="宋体" w:hAnsi="宋体" w:eastAsia="宋体" w:cs="宋体"/>
          <w:snapToGrid w:val="0"/>
          <w:color w:val="000000"/>
          <w:spacing w:val="-14"/>
          <w:kern w:val="0"/>
          <w:sz w:val="22"/>
          <w:szCs w:val="22"/>
          <w:highlight w:val="none"/>
          <w:lang w:val="en-US" w:eastAsia="en-US" w:bidi="ar-SA"/>
        </w:rPr>
        <w:t>：</w:t>
      </w:r>
      <w:r>
        <w:rPr>
          <w:rFonts w:ascii="宋体" w:hAnsi="宋体" w:eastAsia="宋体" w:cs="宋体"/>
          <w:snapToGrid w:val="0"/>
          <w:color w:val="000000"/>
          <w:spacing w:val="3"/>
          <w:kern w:val="0"/>
          <w:sz w:val="22"/>
          <w:szCs w:val="22"/>
          <w:highlight w:val="none"/>
          <w:u w:val="single"/>
          <w:lang w:val="en-US" w:eastAsia="en-US" w:bidi="ar-SA"/>
        </w:rPr>
        <w:t xml:space="preserve">      </w:t>
      </w:r>
      <w:r>
        <w:rPr>
          <w:rFonts w:ascii="宋体" w:hAnsi="宋体" w:eastAsia="宋体" w:cs="宋体"/>
          <w:snapToGrid w:val="0"/>
          <w:color w:val="000000"/>
          <w:spacing w:val="-14"/>
          <w:kern w:val="0"/>
          <w:sz w:val="22"/>
          <w:szCs w:val="22"/>
          <w:highlight w:val="none"/>
          <w:lang w:val="en-US" w:eastAsia="en-US" w:bidi="ar-SA"/>
        </w:rPr>
        <w:t>（</w:t>
      </w:r>
      <w:r>
        <w:rPr>
          <w:rFonts w:ascii="宋体" w:hAnsi="宋体" w:eastAsia="宋体" w:cs="宋体"/>
          <w:snapToGrid w:val="0"/>
          <w:color w:val="000000"/>
          <w:spacing w:val="-1"/>
          <w:kern w:val="0"/>
          <w:sz w:val="22"/>
          <w:szCs w:val="22"/>
          <w:highlight w:val="none"/>
          <w:lang w:val="en-US" w:eastAsia="en-US" w:bidi="ar-SA"/>
        </w:rPr>
        <w:t>大写</w:t>
      </w:r>
      <w:r>
        <w:rPr>
          <w:rFonts w:ascii="宋体" w:hAnsi="宋体" w:eastAsia="宋体" w:cs="宋体"/>
          <w:snapToGrid w:val="0"/>
          <w:color w:val="000000"/>
          <w:spacing w:val="-14"/>
          <w:kern w:val="0"/>
          <w:sz w:val="22"/>
          <w:szCs w:val="22"/>
          <w:highlight w:val="none"/>
          <w:lang w:val="en-US" w:eastAsia="en-US" w:bidi="ar-SA"/>
        </w:rPr>
        <w:t>：</w:t>
      </w:r>
      <w:r>
        <w:rPr>
          <w:rFonts w:ascii="宋体" w:hAnsi="宋体" w:eastAsia="宋体" w:cs="宋体"/>
          <w:snapToGrid w:val="0"/>
          <w:color w:val="000000"/>
          <w:spacing w:val="7"/>
          <w:kern w:val="0"/>
          <w:sz w:val="22"/>
          <w:szCs w:val="22"/>
          <w:highlight w:val="none"/>
          <w:u w:val="single"/>
          <w:lang w:val="en-US" w:eastAsia="en-US" w:bidi="ar-SA"/>
        </w:rPr>
        <w:t xml:space="preserve">       </w:t>
      </w:r>
      <w:r>
        <w:rPr>
          <w:rFonts w:ascii="宋体" w:hAnsi="宋体" w:eastAsia="宋体" w:cs="宋体"/>
          <w:snapToGrid w:val="0"/>
          <w:color w:val="000000"/>
          <w:spacing w:val="-14"/>
          <w:kern w:val="0"/>
          <w:sz w:val="22"/>
          <w:szCs w:val="22"/>
          <w:highlight w:val="none"/>
          <w:lang w:val="en-US" w:eastAsia="en-US" w:bidi="ar-SA"/>
        </w:rPr>
        <w:t>），</w:t>
      </w:r>
      <w:r>
        <w:rPr>
          <w:rFonts w:ascii="宋体" w:hAnsi="宋体" w:eastAsia="宋体" w:cs="宋体"/>
          <w:snapToGrid w:val="0"/>
          <w:color w:val="000000"/>
          <w:spacing w:val="-1"/>
          <w:kern w:val="0"/>
          <w:sz w:val="22"/>
          <w:szCs w:val="22"/>
          <w:highlight w:val="none"/>
          <w:lang w:val="en-US" w:eastAsia="en-US" w:bidi="ar-SA"/>
        </w:rPr>
        <w:t>仅系乙方就本项目</w:t>
      </w:r>
      <w:r>
        <w:rPr>
          <w:rFonts w:hint="eastAsia" w:ascii="宋体" w:hAnsi="宋体" w:eastAsia="宋体" w:cs="宋体"/>
          <w:snapToGrid w:val="0"/>
          <w:color w:val="000000"/>
          <w:spacing w:val="-1"/>
          <w:kern w:val="0"/>
          <w:sz w:val="22"/>
          <w:szCs w:val="22"/>
          <w:highlight w:val="none"/>
          <w:lang w:val="en-US" w:eastAsia="en-US" w:bidi="ar-SA"/>
        </w:rPr>
        <w:t>总采购额作出的</w:t>
      </w:r>
      <w:r>
        <w:rPr>
          <w:rFonts w:hint="eastAsia" w:ascii="宋体" w:hAnsi="宋体" w:eastAsia="宋体" w:cs="宋体"/>
          <w:snapToGrid w:val="0"/>
          <w:color w:val="000000"/>
          <w:spacing w:val="-1"/>
          <w:kern w:val="0"/>
          <w:sz w:val="22"/>
          <w:szCs w:val="22"/>
          <w:highlight w:val="none"/>
          <w:lang w:val="en-US" w:eastAsia="zh-CN" w:bidi="ar-SA"/>
        </w:rPr>
        <w:t>响应</w:t>
      </w:r>
      <w:r>
        <w:rPr>
          <w:rFonts w:hint="eastAsia" w:ascii="宋体" w:hAnsi="宋体" w:eastAsia="宋体" w:cs="宋体"/>
          <w:snapToGrid w:val="0"/>
          <w:color w:val="000000"/>
          <w:spacing w:val="-1"/>
          <w:kern w:val="0"/>
          <w:sz w:val="22"/>
          <w:szCs w:val="22"/>
          <w:highlight w:val="none"/>
          <w:lang w:val="en-US" w:eastAsia="en-US" w:bidi="ar-SA"/>
        </w:rPr>
        <w:t>报价。产品单价：</w:t>
      </w:r>
      <w:r>
        <w:rPr>
          <w:rFonts w:hint="eastAsia" w:ascii="宋体" w:hAnsi="宋体" w:eastAsia="宋体" w:cs="宋体"/>
          <w:snapToGrid w:val="0"/>
          <w:color w:val="000000"/>
          <w:spacing w:val="-1"/>
          <w:kern w:val="0"/>
          <w:sz w:val="22"/>
          <w:szCs w:val="22"/>
          <w:highlight w:val="none"/>
          <w:u w:val="single"/>
          <w:lang w:val="en-US" w:eastAsia="en-US" w:bidi="ar-SA"/>
        </w:rPr>
        <w:t xml:space="preserve">     </w:t>
      </w:r>
      <w:r>
        <w:rPr>
          <w:rFonts w:hint="eastAsia" w:ascii="宋体" w:hAnsi="宋体" w:eastAsia="宋体" w:cs="宋体"/>
          <w:snapToGrid w:val="0"/>
          <w:color w:val="000000"/>
          <w:spacing w:val="-1"/>
          <w:kern w:val="0"/>
          <w:sz w:val="22"/>
          <w:szCs w:val="22"/>
          <w:highlight w:val="none"/>
          <w:lang w:val="en-US" w:eastAsia="en-US" w:bidi="ar-SA"/>
        </w:rPr>
        <w:t>元/kwh。本合同最终交易金额以采购期内甲方向乙方实际采购数量为准，固定单价不变。最终解释权归甲方所有。具体采购清单见附件</w:t>
      </w:r>
      <w:r>
        <w:rPr>
          <w:rFonts w:hint="eastAsia" w:ascii="宋体" w:hAnsi="宋体" w:eastAsia="宋体" w:cs="宋体"/>
          <w:snapToGrid w:val="0"/>
          <w:color w:val="000000"/>
          <w:spacing w:val="-1"/>
          <w:kern w:val="0"/>
          <w:sz w:val="22"/>
          <w:szCs w:val="22"/>
          <w:highlight w:val="none"/>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before="100" w:line="360" w:lineRule="auto"/>
        <w:ind w:right="11" w:firstLine="448" w:firstLineChars="200"/>
        <w:jc w:val="both"/>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2"/>
          <w:kern w:val="0"/>
          <w:sz w:val="22"/>
          <w:szCs w:val="22"/>
          <w:highlight w:val="none"/>
          <w:lang w:val="en-US" w:eastAsia="en-US" w:bidi="ar-SA"/>
        </w:rPr>
        <w:t>2.报价应包含所投货物、安装、保险、税费、包装、</w:t>
      </w:r>
      <w:r>
        <w:rPr>
          <w:rFonts w:ascii="宋体" w:hAnsi="宋体" w:eastAsia="宋体" w:cs="宋体"/>
          <w:snapToGrid w:val="0"/>
          <w:color w:val="000000"/>
          <w:spacing w:val="1"/>
          <w:kern w:val="0"/>
          <w:sz w:val="22"/>
          <w:szCs w:val="22"/>
          <w:highlight w:val="none"/>
          <w:lang w:val="en-US" w:eastAsia="en-US" w:bidi="ar-SA"/>
        </w:rPr>
        <w:t>运至最终目的地的运输、加工及</w:t>
      </w:r>
      <w:r>
        <w:rPr>
          <w:rFonts w:ascii="宋体" w:hAnsi="宋体" w:eastAsia="宋体" w:cs="宋体"/>
          <w:snapToGrid w:val="0"/>
          <w:color w:val="000000"/>
          <w:kern w:val="0"/>
          <w:sz w:val="22"/>
          <w:szCs w:val="22"/>
          <w:highlight w:val="none"/>
          <w:lang w:val="en-US" w:eastAsia="en-US" w:bidi="ar-SA"/>
        </w:rPr>
        <w:t xml:space="preserve"> </w:t>
      </w:r>
      <w:r>
        <w:rPr>
          <w:rFonts w:ascii="宋体" w:hAnsi="宋体" w:eastAsia="宋体" w:cs="宋体"/>
          <w:snapToGrid w:val="0"/>
          <w:color w:val="000000"/>
          <w:spacing w:val="2"/>
          <w:kern w:val="0"/>
          <w:sz w:val="22"/>
          <w:szCs w:val="22"/>
          <w:highlight w:val="none"/>
          <w:lang w:val="en-US" w:eastAsia="en-US" w:bidi="ar-SA"/>
        </w:rPr>
        <w:t>加工损耗、现场落地、调试、辅材费、材料费、人工费、装卸费、包装拆卸费、垃</w:t>
      </w:r>
      <w:r>
        <w:rPr>
          <w:rFonts w:ascii="宋体" w:hAnsi="宋体" w:eastAsia="宋体" w:cs="宋体"/>
          <w:snapToGrid w:val="0"/>
          <w:color w:val="000000"/>
          <w:spacing w:val="1"/>
          <w:kern w:val="0"/>
          <w:sz w:val="22"/>
          <w:szCs w:val="22"/>
          <w:highlight w:val="none"/>
          <w:lang w:val="en-US" w:eastAsia="en-US" w:bidi="ar-SA"/>
        </w:rPr>
        <w:t>圾清运</w:t>
      </w:r>
      <w:r>
        <w:rPr>
          <w:rFonts w:ascii="宋体" w:hAnsi="宋体" w:eastAsia="宋体" w:cs="宋体"/>
          <w:snapToGrid w:val="0"/>
          <w:color w:val="000000"/>
          <w:kern w:val="0"/>
          <w:sz w:val="22"/>
          <w:szCs w:val="22"/>
          <w:highlight w:val="none"/>
          <w:lang w:val="en-US" w:eastAsia="en-US" w:bidi="ar-SA"/>
        </w:rPr>
        <w:t xml:space="preserve"> 费、</w:t>
      </w:r>
      <w:r>
        <w:rPr>
          <w:rFonts w:ascii="宋体" w:hAnsi="宋体" w:eastAsia="宋体" w:cs="宋体"/>
          <w:snapToGrid w:val="0"/>
          <w:color w:val="000000"/>
          <w:spacing w:val="-26"/>
          <w:kern w:val="0"/>
          <w:sz w:val="22"/>
          <w:szCs w:val="22"/>
          <w:highlight w:val="none"/>
          <w:lang w:val="en-US" w:eastAsia="en-US" w:bidi="ar-SA"/>
        </w:rPr>
        <w:t xml:space="preserve"> </w:t>
      </w:r>
      <w:r>
        <w:rPr>
          <w:rFonts w:ascii="宋体" w:hAnsi="宋体" w:eastAsia="宋体" w:cs="宋体"/>
          <w:snapToGrid w:val="0"/>
          <w:color w:val="000000"/>
          <w:kern w:val="0"/>
          <w:sz w:val="22"/>
          <w:szCs w:val="22"/>
          <w:highlight w:val="none"/>
          <w:lang w:val="en-US" w:eastAsia="en-US" w:bidi="ar-SA"/>
        </w:rPr>
        <w:t>外委检测、验收、劳保基金和交付后约定期</w:t>
      </w:r>
      <w:r>
        <w:rPr>
          <w:rFonts w:ascii="宋体" w:hAnsi="宋体" w:eastAsia="宋体" w:cs="宋体"/>
          <w:snapToGrid w:val="0"/>
          <w:color w:val="000000"/>
          <w:spacing w:val="-1"/>
          <w:kern w:val="0"/>
          <w:sz w:val="22"/>
          <w:szCs w:val="22"/>
          <w:highlight w:val="none"/>
          <w:lang w:val="en-US" w:eastAsia="en-US" w:bidi="ar-SA"/>
        </w:rPr>
        <w:t>限内免费维保等工作所发生的一切应有费</w:t>
      </w:r>
      <w:r>
        <w:rPr>
          <w:rFonts w:ascii="宋体" w:hAnsi="宋体" w:eastAsia="宋体" w:cs="宋体"/>
          <w:snapToGrid w:val="0"/>
          <w:color w:val="000000"/>
          <w:kern w:val="0"/>
          <w:sz w:val="22"/>
          <w:szCs w:val="22"/>
          <w:highlight w:val="none"/>
          <w:lang w:val="en-US" w:eastAsia="en-US" w:bidi="ar-SA"/>
        </w:rPr>
        <w:t xml:space="preserve"> </w:t>
      </w:r>
      <w:r>
        <w:rPr>
          <w:rFonts w:ascii="宋体" w:hAnsi="宋体" w:eastAsia="宋体" w:cs="宋体"/>
          <w:snapToGrid w:val="0"/>
          <w:color w:val="000000"/>
          <w:spacing w:val="-5"/>
          <w:kern w:val="0"/>
          <w:sz w:val="22"/>
          <w:szCs w:val="22"/>
          <w:highlight w:val="none"/>
          <w:lang w:val="en-US" w:eastAsia="en-US" w:bidi="ar-SA"/>
        </w:rPr>
        <w:t>用。</w:t>
      </w:r>
      <w:r>
        <w:rPr>
          <w:rFonts w:hint="eastAsia" w:ascii="宋体" w:hAnsi="宋体" w:eastAsia="宋体" w:cs="宋体"/>
          <w:snapToGrid w:val="0"/>
          <w:color w:val="000000"/>
          <w:spacing w:val="-5"/>
          <w:kern w:val="0"/>
          <w:sz w:val="22"/>
          <w:szCs w:val="22"/>
          <w:highlight w:val="none"/>
          <w:lang w:val="en-US" w:eastAsia="zh-CN" w:bidi="ar-SA"/>
        </w:rPr>
        <w:t>响应</w:t>
      </w:r>
      <w:r>
        <w:rPr>
          <w:rFonts w:ascii="宋体" w:hAnsi="宋体" w:eastAsia="宋体" w:cs="宋体"/>
          <w:snapToGrid w:val="0"/>
          <w:color w:val="000000"/>
          <w:spacing w:val="-5"/>
          <w:kern w:val="0"/>
          <w:sz w:val="22"/>
          <w:szCs w:val="22"/>
          <w:highlight w:val="none"/>
          <w:lang w:val="en-US" w:eastAsia="en-US" w:bidi="ar-SA"/>
        </w:rPr>
        <w:t>报价为含税价,并提供增值税专用发票（如国家有最新政策，按最新政</w:t>
      </w:r>
      <w:r>
        <w:rPr>
          <w:rFonts w:ascii="宋体" w:hAnsi="宋体" w:eastAsia="宋体" w:cs="宋体"/>
          <w:snapToGrid w:val="0"/>
          <w:color w:val="000000"/>
          <w:spacing w:val="-4"/>
          <w:kern w:val="0"/>
          <w:sz w:val="22"/>
          <w:szCs w:val="22"/>
          <w:highlight w:val="none"/>
          <w:lang w:val="en-US" w:eastAsia="en-US" w:bidi="ar-SA"/>
        </w:rPr>
        <w:t>策调整）。</w:t>
      </w:r>
    </w:p>
    <w:p>
      <w:pPr>
        <w:kinsoku w:val="0"/>
        <w:autoSpaceDE w:val="0"/>
        <w:autoSpaceDN w:val="0"/>
        <w:adjustRightInd w:val="0"/>
        <w:snapToGrid w:val="0"/>
        <w:spacing w:before="171" w:line="222" w:lineRule="auto"/>
        <w:ind w:left="51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1"/>
          <w:kern w:val="0"/>
          <w:sz w:val="22"/>
          <w:szCs w:val="22"/>
          <w:highlight w:val="none"/>
          <w:lang w:val="en-US" w:eastAsia="en-US" w:bidi="ar-SA"/>
        </w:rPr>
        <w:t>3.本合同定点采购期限为自合同签订之日起至</w:t>
      </w:r>
      <w:r>
        <w:rPr>
          <w:rFonts w:ascii="宋体" w:hAnsi="宋体" w:eastAsia="宋体" w:cs="宋体"/>
          <w:snapToGrid w:val="0"/>
          <w:color w:val="000000"/>
          <w:spacing w:val="39"/>
          <w:kern w:val="0"/>
          <w:sz w:val="22"/>
          <w:szCs w:val="22"/>
          <w:highlight w:val="none"/>
          <w:u w:val="single" w:color="auto"/>
          <w:lang w:val="en-US" w:eastAsia="en-US" w:bidi="ar-SA"/>
        </w:rPr>
        <w:t xml:space="preserve">   </w:t>
      </w:r>
      <w:r>
        <w:rPr>
          <w:rFonts w:ascii="宋体" w:hAnsi="宋体" w:eastAsia="宋体" w:cs="宋体"/>
          <w:snapToGrid w:val="0"/>
          <w:color w:val="000000"/>
          <w:spacing w:val="-108"/>
          <w:kern w:val="0"/>
          <w:sz w:val="22"/>
          <w:szCs w:val="22"/>
          <w:highlight w:val="none"/>
          <w:lang w:val="en-US" w:eastAsia="en-US" w:bidi="ar-SA"/>
        </w:rPr>
        <w:t xml:space="preserve"> </w:t>
      </w:r>
      <w:r>
        <w:rPr>
          <w:rFonts w:ascii="宋体" w:hAnsi="宋体" w:eastAsia="宋体" w:cs="宋体"/>
          <w:snapToGrid w:val="0"/>
          <w:color w:val="000000"/>
          <w:spacing w:val="-1"/>
          <w:kern w:val="0"/>
          <w:sz w:val="22"/>
          <w:szCs w:val="22"/>
          <w:highlight w:val="none"/>
          <w:lang w:val="en-US" w:eastAsia="en-US" w:bidi="ar-SA"/>
        </w:rPr>
        <w:t>年</w:t>
      </w:r>
      <w:r>
        <w:rPr>
          <w:rFonts w:ascii="宋体" w:hAnsi="宋体" w:eastAsia="宋体" w:cs="宋体"/>
          <w:snapToGrid w:val="0"/>
          <w:color w:val="000000"/>
          <w:spacing w:val="-119"/>
          <w:kern w:val="0"/>
          <w:sz w:val="22"/>
          <w:szCs w:val="22"/>
          <w:highlight w:val="none"/>
          <w:lang w:val="en-US" w:eastAsia="en-US" w:bidi="ar-SA"/>
        </w:rPr>
        <w:t xml:space="preserve"> </w:t>
      </w:r>
      <w:r>
        <w:rPr>
          <w:rFonts w:ascii="宋体" w:hAnsi="宋体" w:eastAsia="宋体" w:cs="宋体"/>
          <w:snapToGrid w:val="0"/>
          <w:color w:val="000000"/>
          <w:kern w:val="0"/>
          <w:sz w:val="22"/>
          <w:szCs w:val="22"/>
          <w:highlight w:val="none"/>
          <w:u w:val="single" w:color="auto"/>
          <w:lang w:val="en-US" w:eastAsia="en-US" w:bidi="ar-SA"/>
        </w:rPr>
        <w:t xml:space="preserve">   </w:t>
      </w:r>
      <w:r>
        <w:rPr>
          <w:rFonts w:ascii="宋体" w:hAnsi="宋体" w:eastAsia="宋体" w:cs="宋体"/>
          <w:snapToGrid w:val="0"/>
          <w:color w:val="000000"/>
          <w:spacing w:val="-104"/>
          <w:kern w:val="0"/>
          <w:sz w:val="22"/>
          <w:szCs w:val="22"/>
          <w:highlight w:val="none"/>
          <w:lang w:val="en-US" w:eastAsia="en-US" w:bidi="ar-SA"/>
        </w:rPr>
        <w:t xml:space="preserve"> </w:t>
      </w:r>
      <w:r>
        <w:rPr>
          <w:rFonts w:ascii="宋体" w:hAnsi="宋体" w:eastAsia="宋体" w:cs="宋体"/>
          <w:snapToGrid w:val="0"/>
          <w:color w:val="000000"/>
          <w:spacing w:val="-1"/>
          <w:kern w:val="0"/>
          <w:sz w:val="22"/>
          <w:szCs w:val="22"/>
          <w:highlight w:val="none"/>
          <w:lang w:val="en-US" w:eastAsia="en-US" w:bidi="ar-SA"/>
        </w:rPr>
        <w:t>月</w:t>
      </w:r>
      <w:r>
        <w:rPr>
          <w:rFonts w:ascii="宋体" w:hAnsi="宋体" w:eastAsia="宋体" w:cs="宋体"/>
          <w:snapToGrid w:val="0"/>
          <w:color w:val="000000"/>
          <w:spacing w:val="29"/>
          <w:kern w:val="0"/>
          <w:sz w:val="22"/>
          <w:szCs w:val="22"/>
          <w:highlight w:val="none"/>
          <w:u w:val="single" w:color="auto"/>
          <w:lang w:val="en-US" w:eastAsia="en-US" w:bidi="ar-SA"/>
        </w:rPr>
        <w:t xml:space="preserve">   </w:t>
      </w:r>
      <w:r>
        <w:rPr>
          <w:rFonts w:ascii="宋体" w:hAnsi="宋体" w:eastAsia="宋体" w:cs="宋体"/>
          <w:snapToGrid w:val="0"/>
          <w:color w:val="000000"/>
          <w:spacing w:val="-69"/>
          <w:kern w:val="0"/>
          <w:sz w:val="22"/>
          <w:szCs w:val="22"/>
          <w:highlight w:val="none"/>
          <w:lang w:val="en-US" w:eastAsia="en-US" w:bidi="ar-SA"/>
        </w:rPr>
        <w:t xml:space="preserve"> </w:t>
      </w:r>
      <w:r>
        <w:rPr>
          <w:rFonts w:ascii="宋体" w:hAnsi="宋体" w:eastAsia="宋体" w:cs="宋体"/>
          <w:snapToGrid w:val="0"/>
          <w:color w:val="000000"/>
          <w:spacing w:val="-1"/>
          <w:kern w:val="0"/>
          <w:sz w:val="22"/>
          <w:szCs w:val="22"/>
          <w:highlight w:val="none"/>
          <w:lang w:val="en-US" w:eastAsia="en-US" w:bidi="ar-SA"/>
        </w:rPr>
        <w:t>日止。</w:t>
      </w:r>
    </w:p>
    <w:p>
      <w:pPr>
        <w:kinsoku w:val="0"/>
        <w:autoSpaceDE w:val="0"/>
        <w:autoSpaceDN w:val="0"/>
        <w:adjustRightInd w:val="0"/>
        <w:snapToGrid w:val="0"/>
        <w:spacing w:before="186" w:line="223" w:lineRule="auto"/>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7"/>
          <w:kern w:val="0"/>
          <w:sz w:val="22"/>
          <w:szCs w:val="22"/>
          <w:highlight w:val="none"/>
          <w:lang w:val="en-US" w:eastAsia="en-US" w:bidi="ar-SA"/>
          <w14:textOutline w14:w="4441" w14:cap="flat" w14:cmpd="sng">
            <w14:solidFill>
              <w14:srgbClr w14:val="000000"/>
            </w14:solidFill>
            <w14:prstDash w14:val="solid"/>
            <w14:miter w14:val="0"/>
          </w14:textOutline>
        </w:rPr>
        <w:t>第三条</w:t>
      </w:r>
      <w:r>
        <w:rPr>
          <w:rFonts w:ascii="宋体" w:hAnsi="宋体" w:eastAsia="宋体" w:cs="宋体"/>
          <w:snapToGrid w:val="0"/>
          <w:color w:val="000000"/>
          <w:spacing w:val="-17"/>
          <w:kern w:val="0"/>
          <w:sz w:val="22"/>
          <w:szCs w:val="22"/>
          <w:highlight w:val="none"/>
          <w:lang w:val="en-US" w:eastAsia="en-US" w:bidi="ar-SA"/>
        </w:rPr>
        <w:t xml:space="preserve"> </w:t>
      </w:r>
      <w:r>
        <w:rPr>
          <w:rFonts w:ascii="宋体" w:hAnsi="宋体" w:eastAsia="宋体" w:cs="宋体"/>
          <w:snapToGrid w:val="0"/>
          <w:color w:val="000000"/>
          <w:spacing w:val="7"/>
          <w:kern w:val="0"/>
          <w:sz w:val="22"/>
          <w:szCs w:val="22"/>
          <w:highlight w:val="none"/>
          <w:lang w:val="en-US" w:eastAsia="en-US" w:bidi="ar-SA"/>
          <w14:textOutline w14:w="4441" w14:cap="flat" w14:cmpd="sng">
            <w14:solidFill>
              <w14:srgbClr w14:val="000000"/>
            </w14:solidFill>
            <w14:prstDash w14:val="solid"/>
            <w14:miter w14:val="0"/>
          </w14:textOutline>
        </w:rPr>
        <w:t>产品执行标准</w:t>
      </w:r>
    </w:p>
    <w:p>
      <w:pPr>
        <w:kinsoku w:val="0"/>
        <w:autoSpaceDE w:val="0"/>
        <w:autoSpaceDN w:val="0"/>
        <w:adjustRightInd w:val="0"/>
        <w:snapToGrid w:val="0"/>
        <w:spacing w:before="78" w:line="355" w:lineRule="auto"/>
        <w:ind w:left="44"/>
        <w:jc w:val="left"/>
        <w:textAlignment w:val="baseline"/>
        <w:rPr>
          <w:rFonts w:ascii="宋体" w:hAnsi="宋体" w:eastAsia="宋体" w:cs="宋体"/>
          <w:snapToGrid w:val="0"/>
          <w:color w:val="000000"/>
          <w:spacing w:val="-4"/>
          <w:kern w:val="0"/>
          <w:sz w:val="22"/>
          <w:szCs w:val="22"/>
          <w:highlight w:val="none"/>
          <w:lang w:val="en-US" w:eastAsia="en-US" w:bidi="ar-SA"/>
        </w:rPr>
      </w:pPr>
      <w:r>
        <w:rPr>
          <w:rFonts w:ascii="宋体" w:hAnsi="宋体" w:eastAsia="宋体" w:cs="宋体"/>
          <w:snapToGrid w:val="0"/>
          <w:color w:val="000000"/>
          <w:spacing w:val="-4"/>
          <w:kern w:val="0"/>
          <w:sz w:val="22"/>
          <w:szCs w:val="22"/>
          <w:highlight w:val="none"/>
          <w:lang w:val="en-US" w:eastAsia="en-US" w:bidi="ar-SA"/>
        </w:rPr>
        <w:t>1.乙方所提供产品，</w:t>
      </w:r>
      <w:r>
        <w:rPr>
          <w:rFonts w:ascii="宋体" w:hAnsi="宋体" w:eastAsia="宋体" w:cs="宋体"/>
          <w:snapToGrid w:val="0"/>
          <w:color w:val="000000"/>
          <w:spacing w:val="-63"/>
          <w:kern w:val="0"/>
          <w:sz w:val="22"/>
          <w:szCs w:val="22"/>
          <w:highlight w:val="none"/>
          <w:lang w:val="en-US" w:eastAsia="en-US" w:bidi="ar-SA"/>
        </w:rPr>
        <w:t xml:space="preserve"> </w:t>
      </w:r>
      <w:r>
        <w:rPr>
          <w:rFonts w:ascii="宋体" w:hAnsi="宋体" w:eastAsia="宋体" w:cs="宋体"/>
          <w:snapToGrid w:val="0"/>
          <w:color w:val="000000"/>
          <w:spacing w:val="-4"/>
          <w:kern w:val="0"/>
          <w:sz w:val="22"/>
          <w:szCs w:val="22"/>
          <w:highlight w:val="none"/>
          <w:lang w:val="en-US" w:eastAsia="en-US" w:bidi="ar-SA"/>
        </w:rPr>
        <w:t>须符合</w:t>
      </w:r>
      <w:r>
        <w:rPr>
          <w:rFonts w:hint="eastAsia" w:ascii="宋体" w:hAnsi="宋体" w:eastAsia="宋体" w:cs="宋体"/>
          <w:snapToGrid w:val="0"/>
          <w:color w:val="000000"/>
          <w:spacing w:val="-4"/>
          <w:kern w:val="0"/>
          <w:sz w:val="22"/>
          <w:szCs w:val="22"/>
          <w:highlight w:val="none"/>
          <w:u w:val="single" w:color="auto"/>
          <w:lang w:val="en-US" w:eastAsia="en-US" w:bidi="ar-SA"/>
        </w:rPr>
        <w:t>安徽交运集团安庆望江车辆磷酸铁锂动力电池更换项目</w:t>
      </w:r>
      <w:r>
        <w:rPr>
          <w:rFonts w:ascii="宋体" w:hAnsi="宋体" w:eastAsia="宋体" w:cs="宋体"/>
          <w:snapToGrid w:val="0"/>
          <w:color w:val="000000"/>
          <w:spacing w:val="-4"/>
          <w:kern w:val="0"/>
          <w:sz w:val="22"/>
          <w:szCs w:val="22"/>
          <w:highlight w:val="none"/>
          <w:lang w:val="en-US" w:eastAsia="en-US" w:bidi="ar-SA"/>
        </w:rPr>
        <w:t>的招标文件中技术规范和要求，乙方所提供的产品应是全新、未使用过的，</w:t>
      </w:r>
      <w:r>
        <w:rPr>
          <w:rFonts w:hint="eastAsia" w:ascii="宋体" w:hAnsi="宋体" w:eastAsia="宋体" w:cs="宋体"/>
          <w:snapToGrid w:val="0"/>
          <w:color w:val="000000"/>
          <w:spacing w:val="-4"/>
          <w:kern w:val="0"/>
          <w:sz w:val="22"/>
          <w:szCs w:val="22"/>
          <w:highlight w:val="none"/>
          <w:lang w:val="en-US" w:eastAsia="en-US" w:bidi="ar-SA"/>
        </w:rPr>
        <w:t>不</w:t>
      </w:r>
      <w:r>
        <w:rPr>
          <w:rFonts w:hint="eastAsia" w:ascii="宋体" w:hAnsi="宋体" w:eastAsia="宋体" w:cs="宋体"/>
          <w:snapToGrid w:val="0"/>
          <w:color w:val="000000"/>
          <w:spacing w:val="-4"/>
          <w:kern w:val="0"/>
          <w:sz w:val="22"/>
          <w:szCs w:val="22"/>
          <w:highlight w:val="none"/>
          <w:lang w:val="en-US" w:eastAsia="zh-CN" w:bidi="ar-SA"/>
        </w:rPr>
        <w:t>得</w:t>
      </w:r>
      <w:r>
        <w:rPr>
          <w:rFonts w:hint="eastAsia" w:ascii="宋体" w:hAnsi="宋体" w:eastAsia="宋体" w:cs="宋体"/>
          <w:snapToGrid w:val="0"/>
          <w:color w:val="000000"/>
          <w:spacing w:val="-4"/>
          <w:kern w:val="0"/>
          <w:sz w:val="22"/>
          <w:szCs w:val="22"/>
          <w:highlight w:val="none"/>
          <w:lang w:val="en-US" w:eastAsia="en-US" w:bidi="ar-SA"/>
        </w:rPr>
        <w:t>在本项目中使用梯次电芯</w:t>
      </w:r>
      <w:r>
        <w:rPr>
          <w:rFonts w:hint="eastAsia" w:ascii="宋体" w:hAnsi="宋体" w:eastAsia="宋体" w:cs="宋体"/>
          <w:snapToGrid w:val="0"/>
          <w:color w:val="000000"/>
          <w:spacing w:val="-4"/>
          <w:kern w:val="0"/>
          <w:sz w:val="22"/>
          <w:szCs w:val="22"/>
          <w:highlight w:val="none"/>
          <w:lang w:val="en-US" w:eastAsia="zh-CN" w:bidi="ar-SA"/>
        </w:rPr>
        <w:t>，</w:t>
      </w:r>
      <w:r>
        <w:rPr>
          <w:rFonts w:ascii="宋体" w:hAnsi="宋体" w:eastAsia="宋体" w:cs="宋体"/>
          <w:snapToGrid w:val="0"/>
          <w:color w:val="000000"/>
          <w:spacing w:val="-4"/>
          <w:kern w:val="0"/>
          <w:sz w:val="22"/>
          <w:szCs w:val="22"/>
          <w:highlight w:val="none"/>
          <w:lang w:val="en-US" w:eastAsia="en-US" w:bidi="ar-SA"/>
        </w:rPr>
        <w:t>完全符合上述招标文件要求质量标准的正品，完全满足甲方的实际使用需要。</w:t>
      </w:r>
    </w:p>
    <w:p>
      <w:pPr>
        <w:kinsoku w:val="0"/>
        <w:autoSpaceDE w:val="0"/>
        <w:autoSpaceDN w:val="0"/>
        <w:adjustRightInd w:val="0"/>
        <w:snapToGrid w:val="0"/>
        <w:spacing w:before="185" w:line="461" w:lineRule="exact"/>
        <w:ind w:left="661"/>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4"/>
          <w:kern w:val="0"/>
          <w:position w:val="16"/>
          <w:sz w:val="22"/>
          <w:szCs w:val="22"/>
          <w:highlight w:val="none"/>
          <w:lang w:val="en-US" w:eastAsia="en-US" w:bidi="ar-SA"/>
        </w:rPr>
        <w:t>2.乙方在供应产品的同时，</w:t>
      </w:r>
      <w:r>
        <w:rPr>
          <w:rFonts w:ascii="宋体" w:hAnsi="宋体" w:eastAsia="宋体" w:cs="宋体"/>
          <w:snapToGrid w:val="0"/>
          <w:color w:val="000000"/>
          <w:spacing w:val="-35"/>
          <w:kern w:val="0"/>
          <w:position w:val="16"/>
          <w:sz w:val="22"/>
          <w:szCs w:val="22"/>
          <w:highlight w:val="none"/>
          <w:lang w:val="en-US" w:eastAsia="en-US" w:bidi="ar-SA"/>
        </w:rPr>
        <w:t xml:space="preserve"> </w:t>
      </w:r>
      <w:r>
        <w:rPr>
          <w:rFonts w:ascii="宋体" w:hAnsi="宋体" w:eastAsia="宋体" w:cs="宋体"/>
          <w:snapToGrid w:val="0"/>
          <w:color w:val="000000"/>
          <w:spacing w:val="-4"/>
          <w:kern w:val="0"/>
          <w:position w:val="16"/>
          <w:sz w:val="22"/>
          <w:szCs w:val="22"/>
          <w:highlight w:val="none"/>
          <w:lang w:val="en-US" w:eastAsia="en-US" w:bidi="ar-SA"/>
        </w:rPr>
        <w:t>应向甲方提供产品合格证、使用说明书及相应的配件、备</w:t>
      </w:r>
    </w:p>
    <w:p>
      <w:pPr>
        <w:kinsoku w:val="0"/>
        <w:autoSpaceDE w:val="0"/>
        <w:autoSpaceDN w:val="0"/>
        <w:adjustRightInd w:val="0"/>
        <w:snapToGrid w:val="0"/>
        <w:spacing w:line="222" w:lineRule="auto"/>
        <w:ind w:left="5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6"/>
          <w:kern w:val="0"/>
          <w:sz w:val="22"/>
          <w:szCs w:val="22"/>
          <w:highlight w:val="none"/>
          <w:lang w:val="en-US" w:eastAsia="en-US" w:bidi="ar-SA"/>
        </w:rPr>
        <w:t>品、备件及辅材等</w:t>
      </w:r>
      <w:r>
        <w:rPr>
          <w:rFonts w:ascii="宋体" w:hAnsi="宋体" w:eastAsia="宋体" w:cs="宋体"/>
          <w:snapToGrid w:val="0"/>
          <w:color w:val="000000"/>
          <w:spacing w:val="-52"/>
          <w:kern w:val="0"/>
          <w:sz w:val="22"/>
          <w:szCs w:val="22"/>
          <w:highlight w:val="none"/>
          <w:lang w:val="en-US" w:eastAsia="en-US" w:bidi="ar-SA"/>
        </w:rPr>
        <w:t xml:space="preserve"> </w:t>
      </w:r>
      <w:r>
        <w:rPr>
          <w:rFonts w:ascii="宋体" w:hAnsi="宋体" w:eastAsia="宋体" w:cs="宋体"/>
          <w:snapToGrid w:val="0"/>
          <w:color w:val="000000"/>
          <w:spacing w:val="-7"/>
          <w:kern w:val="0"/>
          <w:sz w:val="22"/>
          <w:szCs w:val="22"/>
          <w:highlight w:val="none"/>
          <w:lang w:val="en-US" w:eastAsia="en-US" w:bidi="ar-SA"/>
        </w:rPr>
        <w:t>。</w:t>
      </w:r>
    </w:p>
    <w:p>
      <w:pPr>
        <w:kinsoku w:val="0"/>
        <w:autoSpaceDE w:val="0"/>
        <w:autoSpaceDN w:val="0"/>
        <w:adjustRightInd w:val="0"/>
        <w:snapToGrid w:val="0"/>
        <w:spacing w:before="187" w:line="222" w:lineRule="auto"/>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2"/>
          <w:kern w:val="0"/>
          <w:sz w:val="22"/>
          <w:szCs w:val="22"/>
          <w:highlight w:val="none"/>
          <w:lang w:val="en-US" w:eastAsia="en-US" w:bidi="ar-SA"/>
          <w14:textOutline w14:w="4441" w14:cap="flat" w14:cmpd="sng">
            <w14:solidFill>
              <w14:srgbClr w14:val="000000"/>
            </w14:solidFill>
            <w14:prstDash w14:val="solid"/>
            <w14:miter w14:val="0"/>
          </w14:textOutline>
        </w:rPr>
        <w:t>第四条</w:t>
      </w:r>
      <w:r>
        <w:rPr>
          <w:rFonts w:ascii="宋体" w:hAnsi="宋体" w:eastAsia="宋体" w:cs="宋体"/>
          <w:snapToGrid w:val="0"/>
          <w:color w:val="000000"/>
          <w:spacing w:val="-2"/>
          <w:kern w:val="0"/>
          <w:sz w:val="22"/>
          <w:szCs w:val="22"/>
          <w:highlight w:val="none"/>
          <w:lang w:val="en-US" w:eastAsia="en-US" w:bidi="ar-SA"/>
        </w:rPr>
        <w:t xml:space="preserve">  </w:t>
      </w:r>
      <w:r>
        <w:rPr>
          <w:rFonts w:ascii="宋体" w:hAnsi="宋体" w:eastAsia="宋体" w:cs="宋体"/>
          <w:snapToGrid w:val="0"/>
          <w:color w:val="000000"/>
          <w:spacing w:val="-2"/>
          <w:kern w:val="0"/>
          <w:sz w:val="22"/>
          <w:szCs w:val="22"/>
          <w:highlight w:val="none"/>
          <w:lang w:val="en-US" w:eastAsia="en-US" w:bidi="ar-SA"/>
          <w14:textOutline w14:w="4441" w14:cap="flat" w14:cmpd="sng">
            <w14:solidFill>
              <w14:srgbClr w14:val="000000"/>
            </w14:solidFill>
            <w14:prstDash w14:val="solid"/>
            <w14:miter w14:val="0"/>
          </w14:textOutline>
        </w:rPr>
        <w:t>产品的包装、</w:t>
      </w:r>
      <w:r>
        <w:rPr>
          <w:rFonts w:ascii="宋体" w:hAnsi="宋体" w:eastAsia="宋体" w:cs="宋体"/>
          <w:snapToGrid w:val="0"/>
          <w:color w:val="000000"/>
          <w:spacing w:val="-2"/>
          <w:kern w:val="0"/>
          <w:sz w:val="22"/>
          <w:szCs w:val="22"/>
          <w:highlight w:val="none"/>
          <w:lang w:val="en-US" w:eastAsia="en-US" w:bidi="ar-SA"/>
        </w:rPr>
        <w:t xml:space="preserve"> </w:t>
      </w:r>
      <w:r>
        <w:rPr>
          <w:rFonts w:ascii="宋体" w:hAnsi="宋体" w:eastAsia="宋体" w:cs="宋体"/>
          <w:snapToGrid w:val="0"/>
          <w:color w:val="000000"/>
          <w:spacing w:val="-2"/>
          <w:kern w:val="0"/>
          <w:sz w:val="22"/>
          <w:szCs w:val="22"/>
          <w:highlight w:val="none"/>
          <w:lang w:val="en-US" w:eastAsia="en-US" w:bidi="ar-SA"/>
          <w14:textOutline w14:w="4441" w14:cap="flat" w14:cmpd="sng">
            <w14:solidFill>
              <w14:srgbClr w14:val="000000"/>
            </w14:solidFill>
            <w14:prstDash w14:val="solid"/>
            <w14:miter w14:val="0"/>
          </w14:textOutline>
        </w:rPr>
        <w:t>交货方法、到货地点和交货期限</w:t>
      </w:r>
    </w:p>
    <w:p>
      <w:pPr>
        <w:kinsoku w:val="0"/>
        <w:autoSpaceDE w:val="0"/>
        <w:autoSpaceDN w:val="0"/>
        <w:adjustRightInd w:val="0"/>
        <w:snapToGrid w:val="0"/>
        <w:spacing w:before="171" w:line="476" w:lineRule="exact"/>
        <w:ind w:left="532"/>
        <w:jc w:val="left"/>
        <w:textAlignment w:val="baseline"/>
        <w:rPr>
          <w:rFonts w:hint="eastAsia" w:ascii="宋体" w:hAnsi="宋体" w:eastAsia="宋体" w:cs="宋体"/>
          <w:snapToGrid w:val="0"/>
          <w:color w:val="000000"/>
          <w:kern w:val="0"/>
          <w:sz w:val="22"/>
          <w:szCs w:val="22"/>
          <w:highlight w:val="none"/>
          <w:lang w:val="en-US" w:eastAsia="zh-CN" w:bidi="ar-SA"/>
        </w:rPr>
      </w:pPr>
      <w:r>
        <w:rPr>
          <w:rFonts w:ascii="宋体" w:hAnsi="宋体" w:eastAsia="宋体" w:cs="宋体"/>
          <w:snapToGrid w:val="0"/>
          <w:color w:val="000000"/>
          <w:spacing w:val="2"/>
          <w:kern w:val="0"/>
          <w:position w:val="17"/>
          <w:sz w:val="22"/>
          <w:szCs w:val="22"/>
          <w:highlight w:val="none"/>
          <w:lang w:val="en-US" w:eastAsia="en-US" w:bidi="ar-SA"/>
        </w:rPr>
        <w:t>1.合同产品的包装：包装应足以承受整个</w:t>
      </w:r>
      <w:r>
        <w:rPr>
          <w:rFonts w:ascii="宋体" w:hAnsi="宋体" w:eastAsia="宋体" w:cs="宋体"/>
          <w:snapToGrid w:val="0"/>
          <w:color w:val="000000"/>
          <w:spacing w:val="1"/>
          <w:kern w:val="0"/>
          <w:position w:val="17"/>
          <w:sz w:val="22"/>
          <w:szCs w:val="22"/>
          <w:highlight w:val="none"/>
          <w:lang w:val="en-US" w:eastAsia="en-US" w:bidi="ar-SA"/>
        </w:rPr>
        <w:t>过程中的运输、转运、贮存等，并考虑</w:t>
      </w:r>
      <w:r>
        <w:rPr>
          <w:rFonts w:hint="eastAsia" w:ascii="宋体" w:hAnsi="宋体" w:eastAsia="宋体" w:cs="宋体"/>
          <w:snapToGrid w:val="0"/>
          <w:color w:val="000000"/>
          <w:spacing w:val="1"/>
          <w:kern w:val="0"/>
          <w:position w:val="17"/>
          <w:sz w:val="22"/>
          <w:szCs w:val="22"/>
          <w:highlight w:val="none"/>
          <w:lang w:val="en-US" w:eastAsia="zh-CN" w:bidi="ar-SA"/>
        </w:rPr>
        <w:t>项目</w:t>
      </w:r>
    </w:p>
    <w:p>
      <w:pPr>
        <w:kinsoku w:val="0"/>
        <w:autoSpaceDE w:val="0"/>
        <w:autoSpaceDN w:val="0"/>
        <w:adjustRightInd w:val="0"/>
        <w:snapToGrid w:val="0"/>
        <w:spacing w:before="1" w:line="222" w:lineRule="auto"/>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1"/>
          <w:kern w:val="0"/>
          <w:sz w:val="22"/>
          <w:szCs w:val="22"/>
          <w:highlight w:val="none"/>
          <w:lang w:val="en-US" w:eastAsia="en-US" w:bidi="ar-SA"/>
        </w:rPr>
        <w:t>地区的气候特点。凡由于包装不良造成的产品损失和由此产生的费用均应由乙</w:t>
      </w:r>
      <w:r>
        <w:rPr>
          <w:rFonts w:ascii="宋体" w:hAnsi="宋体" w:eastAsia="宋体" w:cs="宋体"/>
          <w:snapToGrid w:val="0"/>
          <w:color w:val="000000"/>
          <w:kern w:val="0"/>
          <w:sz w:val="22"/>
          <w:szCs w:val="22"/>
          <w:highlight w:val="none"/>
          <w:lang w:val="en-US" w:eastAsia="en-US" w:bidi="ar-SA"/>
        </w:rPr>
        <w:t>方承担。</w:t>
      </w:r>
    </w:p>
    <w:p>
      <w:pPr>
        <w:kinsoku w:val="0"/>
        <w:autoSpaceDE w:val="0"/>
        <w:autoSpaceDN w:val="0"/>
        <w:adjustRightInd w:val="0"/>
        <w:snapToGrid w:val="0"/>
        <w:spacing w:before="173" w:line="360" w:lineRule="auto"/>
        <w:ind w:left="41" w:right="80" w:firstLine="475"/>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3"/>
          <w:kern w:val="0"/>
          <w:sz w:val="22"/>
          <w:szCs w:val="22"/>
          <w:highlight w:val="none"/>
          <w:lang w:val="en-US" w:eastAsia="en-US" w:bidi="ar-SA"/>
        </w:rPr>
        <w:t>2.</w:t>
      </w:r>
      <w:r>
        <w:rPr>
          <w:rFonts w:hint="eastAsia" w:ascii="宋体" w:hAnsi="宋体" w:eastAsia="宋体" w:cs="宋体"/>
          <w:b/>
          <w:bCs/>
          <w:snapToGrid w:val="0"/>
          <w:color w:val="000000"/>
          <w:spacing w:val="-3"/>
          <w:kern w:val="0"/>
          <w:sz w:val="22"/>
          <w:szCs w:val="22"/>
          <w:highlight w:val="none"/>
          <w:lang w:val="en-US" w:eastAsia="en-US" w:bidi="ar-SA"/>
        </w:rPr>
        <w:t>供货及安装期限：根据供应商对车辆原电池组及相关组件的检测及评估结果，按采购人要求分批次更换新的电池组及相关组件，要求自合同签订之日起至2024 年</w:t>
      </w:r>
      <w:r>
        <w:rPr>
          <w:rFonts w:hint="eastAsia" w:ascii="宋体" w:hAnsi="宋体" w:eastAsia="宋体" w:cs="宋体"/>
          <w:b/>
          <w:bCs/>
          <w:snapToGrid w:val="0"/>
          <w:color w:val="000000"/>
          <w:spacing w:val="-3"/>
          <w:kern w:val="0"/>
          <w:sz w:val="22"/>
          <w:szCs w:val="22"/>
          <w:highlight w:val="none"/>
          <w:u w:val="single"/>
          <w:lang w:val="en-US" w:eastAsia="zh-CN" w:bidi="ar-SA"/>
        </w:rPr>
        <w:t xml:space="preserve">   </w:t>
      </w:r>
      <w:r>
        <w:rPr>
          <w:rFonts w:hint="eastAsia" w:ascii="宋体" w:hAnsi="宋体" w:eastAsia="宋体" w:cs="宋体"/>
          <w:b/>
          <w:bCs/>
          <w:snapToGrid w:val="0"/>
          <w:color w:val="000000"/>
          <w:spacing w:val="-3"/>
          <w:kern w:val="0"/>
          <w:sz w:val="22"/>
          <w:szCs w:val="22"/>
          <w:highlight w:val="none"/>
          <w:lang w:val="en-US" w:eastAsia="en-US" w:bidi="ar-SA"/>
        </w:rPr>
        <w:t>月</w:t>
      </w:r>
      <w:r>
        <w:rPr>
          <w:rFonts w:hint="eastAsia" w:ascii="宋体" w:hAnsi="宋体" w:eastAsia="宋体" w:cs="宋体"/>
          <w:b/>
          <w:bCs/>
          <w:snapToGrid w:val="0"/>
          <w:color w:val="000000"/>
          <w:spacing w:val="-3"/>
          <w:kern w:val="0"/>
          <w:sz w:val="22"/>
          <w:szCs w:val="22"/>
          <w:highlight w:val="none"/>
          <w:u w:val="single"/>
          <w:lang w:val="en-US" w:eastAsia="zh-CN" w:bidi="ar-SA"/>
        </w:rPr>
        <w:t xml:space="preserve">  </w:t>
      </w:r>
      <w:r>
        <w:rPr>
          <w:rFonts w:hint="eastAsia" w:ascii="宋体" w:hAnsi="宋体" w:eastAsia="宋体" w:cs="宋体"/>
          <w:b/>
          <w:bCs/>
          <w:snapToGrid w:val="0"/>
          <w:color w:val="000000"/>
          <w:spacing w:val="-3"/>
          <w:kern w:val="0"/>
          <w:sz w:val="22"/>
          <w:szCs w:val="22"/>
          <w:highlight w:val="none"/>
          <w:u w:val="single"/>
          <w:lang w:val="en-US" w:eastAsia="en-US" w:bidi="ar-SA"/>
        </w:rPr>
        <w:t xml:space="preserve"> </w:t>
      </w:r>
      <w:r>
        <w:rPr>
          <w:rFonts w:hint="eastAsia" w:ascii="宋体" w:hAnsi="宋体" w:eastAsia="宋体" w:cs="宋体"/>
          <w:b/>
          <w:bCs/>
          <w:snapToGrid w:val="0"/>
          <w:color w:val="000000"/>
          <w:spacing w:val="-3"/>
          <w:kern w:val="0"/>
          <w:sz w:val="22"/>
          <w:szCs w:val="22"/>
          <w:highlight w:val="none"/>
          <w:lang w:val="en-US" w:eastAsia="en-US" w:bidi="ar-SA"/>
        </w:rPr>
        <w:t xml:space="preserve">日前完成全部更换工作。其中，更换新的电池组及相关组件所需的改造设计和路试等工作须在合同签订之日起 </w:t>
      </w:r>
      <w:r>
        <w:rPr>
          <w:rFonts w:hint="eastAsia" w:ascii="宋体" w:hAnsi="宋体" w:eastAsia="宋体" w:cs="宋体"/>
          <w:b/>
          <w:bCs/>
          <w:snapToGrid w:val="0"/>
          <w:color w:val="000000"/>
          <w:spacing w:val="-3"/>
          <w:kern w:val="0"/>
          <w:sz w:val="22"/>
          <w:szCs w:val="22"/>
          <w:highlight w:val="none"/>
          <w:lang w:val="en-US" w:eastAsia="zh-CN" w:bidi="ar-SA"/>
        </w:rPr>
        <w:t>3</w:t>
      </w:r>
      <w:r>
        <w:rPr>
          <w:rFonts w:hint="eastAsia" w:ascii="宋体" w:hAnsi="宋体" w:eastAsia="宋体" w:cs="宋体"/>
          <w:b/>
          <w:bCs/>
          <w:snapToGrid w:val="0"/>
          <w:color w:val="000000"/>
          <w:spacing w:val="-3"/>
          <w:kern w:val="0"/>
          <w:sz w:val="22"/>
          <w:szCs w:val="22"/>
          <w:highlight w:val="none"/>
          <w:lang w:val="en-US" w:eastAsia="en-US" w:bidi="ar-SA"/>
        </w:rPr>
        <w:t>0 日历天内完成，并取得采购人认可；采购人对改造设计和路试认可后方可开展电池组及相关组件的批量更换。采购人有权决定车辆是否更换新的电池组及相关组件以及更换时序。</w:t>
      </w:r>
      <w:r>
        <w:rPr>
          <w:rFonts w:ascii="宋体" w:hAnsi="宋体" w:eastAsia="宋体" w:cs="宋体"/>
          <w:snapToGrid w:val="0"/>
          <w:color w:val="000000"/>
          <w:spacing w:val="-3"/>
          <w:kern w:val="0"/>
          <w:sz w:val="22"/>
          <w:szCs w:val="22"/>
          <w:highlight w:val="none"/>
          <w:lang w:val="en-US" w:eastAsia="en-US" w:bidi="ar-SA"/>
        </w:rPr>
        <w:t>每批次货物，乙方需在接到甲方订单后</w:t>
      </w:r>
      <w:r>
        <w:rPr>
          <w:rFonts w:ascii="宋体" w:hAnsi="宋体" w:eastAsia="宋体" w:cs="宋体"/>
          <w:snapToGrid w:val="0"/>
          <w:color w:val="000000"/>
          <w:spacing w:val="52"/>
          <w:kern w:val="0"/>
          <w:sz w:val="22"/>
          <w:szCs w:val="22"/>
          <w:highlight w:val="none"/>
          <w:u w:val="single" w:color="auto"/>
          <w:lang w:val="en-US" w:eastAsia="en-US" w:bidi="ar-SA"/>
        </w:rPr>
        <w:t xml:space="preserve"> </w:t>
      </w:r>
      <w:r>
        <w:rPr>
          <w:rFonts w:hint="eastAsia" w:ascii="宋体" w:hAnsi="宋体" w:eastAsia="宋体" w:cs="宋体"/>
          <w:snapToGrid w:val="0"/>
          <w:color w:val="000000"/>
          <w:spacing w:val="52"/>
          <w:kern w:val="0"/>
          <w:sz w:val="22"/>
          <w:szCs w:val="22"/>
          <w:highlight w:val="none"/>
          <w:u w:val="single" w:color="auto"/>
          <w:lang w:val="en-US" w:eastAsia="zh-CN" w:bidi="ar-SA"/>
        </w:rPr>
        <w:t xml:space="preserve"> 7</w:t>
      </w:r>
      <w:r>
        <w:rPr>
          <w:rFonts w:ascii="宋体" w:hAnsi="宋体" w:eastAsia="宋体" w:cs="宋体"/>
          <w:snapToGrid w:val="0"/>
          <w:color w:val="000000"/>
          <w:spacing w:val="52"/>
          <w:kern w:val="0"/>
          <w:sz w:val="22"/>
          <w:szCs w:val="22"/>
          <w:highlight w:val="none"/>
          <w:u w:val="single" w:color="auto"/>
          <w:lang w:val="en-US" w:eastAsia="en-US" w:bidi="ar-SA"/>
        </w:rPr>
        <w:t xml:space="preserve"> </w:t>
      </w:r>
      <w:r>
        <w:rPr>
          <w:rFonts w:ascii="宋体" w:hAnsi="宋体" w:eastAsia="宋体" w:cs="宋体"/>
          <w:snapToGrid w:val="0"/>
          <w:color w:val="000000"/>
          <w:spacing w:val="-105"/>
          <w:kern w:val="0"/>
          <w:sz w:val="22"/>
          <w:szCs w:val="22"/>
          <w:highlight w:val="none"/>
          <w:lang w:val="en-US" w:eastAsia="en-US" w:bidi="ar-SA"/>
        </w:rPr>
        <w:t xml:space="preserve"> </w:t>
      </w:r>
      <w:r>
        <w:rPr>
          <w:rFonts w:ascii="宋体" w:hAnsi="宋体" w:eastAsia="宋体" w:cs="宋体"/>
          <w:snapToGrid w:val="0"/>
          <w:color w:val="000000"/>
          <w:spacing w:val="-3"/>
          <w:kern w:val="0"/>
          <w:sz w:val="22"/>
          <w:szCs w:val="22"/>
          <w:highlight w:val="none"/>
          <w:lang w:val="en-US" w:eastAsia="en-US" w:bidi="ar-SA"/>
        </w:rPr>
        <w:t>天内将货物送达甲方指</w:t>
      </w:r>
      <w:r>
        <w:rPr>
          <w:rFonts w:ascii="宋体" w:hAnsi="宋体" w:eastAsia="宋体" w:cs="宋体"/>
          <w:snapToGrid w:val="0"/>
          <w:color w:val="000000"/>
          <w:spacing w:val="-4"/>
          <w:kern w:val="0"/>
          <w:sz w:val="22"/>
          <w:szCs w:val="22"/>
          <w:highlight w:val="none"/>
          <w:lang w:val="en-US" w:eastAsia="en-US" w:bidi="ar-SA"/>
        </w:rPr>
        <w:t>定地点</w:t>
      </w:r>
      <w:r>
        <w:rPr>
          <w:rFonts w:ascii="宋体" w:hAnsi="宋体" w:eastAsia="宋体" w:cs="宋体"/>
          <w:snapToGrid w:val="0"/>
          <w:color w:val="000000"/>
          <w:spacing w:val="-42"/>
          <w:kern w:val="0"/>
          <w:sz w:val="22"/>
          <w:szCs w:val="22"/>
          <w:highlight w:val="none"/>
          <w:lang w:val="en-US" w:eastAsia="en-US" w:bidi="ar-SA"/>
        </w:rPr>
        <w:t>，</w:t>
      </w:r>
      <w:r>
        <w:rPr>
          <w:rFonts w:ascii="宋体" w:hAnsi="宋体" w:eastAsia="宋体" w:cs="宋体"/>
          <w:snapToGrid w:val="0"/>
          <w:color w:val="000000"/>
          <w:spacing w:val="-1"/>
          <w:kern w:val="0"/>
          <w:sz w:val="22"/>
          <w:szCs w:val="22"/>
          <w:highlight w:val="none"/>
          <w:lang w:val="en-US" w:eastAsia="en-US" w:bidi="ar-SA"/>
        </w:rPr>
        <w:t>并通过甲方现场</w:t>
      </w:r>
      <w:r>
        <w:rPr>
          <w:rFonts w:ascii="宋体" w:hAnsi="宋体" w:eastAsia="宋体" w:cs="宋体"/>
          <w:snapToGrid w:val="0"/>
          <w:color w:val="000000"/>
          <w:spacing w:val="-2"/>
          <w:kern w:val="0"/>
          <w:sz w:val="22"/>
          <w:szCs w:val="22"/>
          <w:highlight w:val="none"/>
          <w:lang w:val="en-US" w:eastAsia="en-US" w:bidi="ar-SA"/>
        </w:rPr>
        <w:t>验收，逾期送达的</w:t>
      </w:r>
      <w:r>
        <w:rPr>
          <w:rFonts w:hint="eastAsia" w:ascii="宋体" w:hAnsi="宋体" w:eastAsia="宋体" w:cs="宋体"/>
          <w:snapToGrid w:val="0"/>
          <w:color w:val="000000"/>
          <w:spacing w:val="-2"/>
          <w:kern w:val="0"/>
          <w:sz w:val="22"/>
          <w:szCs w:val="22"/>
          <w:highlight w:val="none"/>
          <w:lang w:val="en-US" w:eastAsia="zh-CN" w:bidi="ar-SA"/>
        </w:rPr>
        <w:t>扣除1000元/天违约金</w:t>
      </w:r>
      <w:r>
        <w:rPr>
          <w:rFonts w:ascii="宋体" w:hAnsi="宋体" w:eastAsia="宋体" w:cs="宋体"/>
          <w:snapToGrid w:val="0"/>
          <w:color w:val="000000"/>
          <w:spacing w:val="-4"/>
          <w:kern w:val="0"/>
          <w:sz w:val="22"/>
          <w:szCs w:val="22"/>
          <w:highlight w:val="none"/>
          <w:lang w:val="en-US" w:eastAsia="en-US" w:bidi="ar-SA"/>
        </w:rPr>
        <w:t>。遇特殊情况，经甲方同意后可以调整。乙方若</w:t>
      </w:r>
      <w:r>
        <w:rPr>
          <w:rFonts w:ascii="宋体" w:hAnsi="宋体" w:eastAsia="宋体" w:cs="宋体"/>
          <w:snapToGrid w:val="0"/>
          <w:color w:val="000000"/>
          <w:spacing w:val="-4"/>
          <w:kern w:val="0"/>
          <w:sz w:val="22"/>
          <w:szCs w:val="22"/>
          <w:highlight w:val="none"/>
          <w:u w:val="single" w:color="auto"/>
          <w:lang w:val="en-US" w:eastAsia="en-US" w:bidi="ar-SA"/>
        </w:rPr>
        <w:t xml:space="preserve">   </w:t>
      </w:r>
      <w:r>
        <w:rPr>
          <w:rFonts w:hint="eastAsia" w:ascii="宋体" w:hAnsi="宋体" w:eastAsia="宋体" w:cs="宋体"/>
          <w:snapToGrid w:val="0"/>
          <w:color w:val="000000"/>
          <w:spacing w:val="-4"/>
          <w:kern w:val="0"/>
          <w:sz w:val="22"/>
          <w:szCs w:val="22"/>
          <w:highlight w:val="none"/>
          <w:u w:val="single" w:color="auto"/>
          <w:lang w:val="en-US" w:eastAsia="zh-CN" w:bidi="ar-SA"/>
        </w:rPr>
        <w:t>10</w:t>
      </w:r>
      <w:r>
        <w:rPr>
          <w:rFonts w:ascii="宋体" w:hAnsi="宋体" w:eastAsia="宋体" w:cs="宋体"/>
          <w:snapToGrid w:val="0"/>
          <w:color w:val="000000"/>
          <w:spacing w:val="-4"/>
          <w:kern w:val="0"/>
          <w:sz w:val="22"/>
          <w:szCs w:val="22"/>
          <w:highlight w:val="none"/>
          <w:u w:val="single" w:color="auto"/>
          <w:lang w:val="en-US" w:eastAsia="en-US" w:bidi="ar-SA"/>
        </w:rPr>
        <w:t xml:space="preserve">   </w:t>
      </w:r>
      <w:r>
        <w:rPr>
          <w:rFonts w:ascii="宋体" w:hAnsi="宋体" w:eastAsia="宋体" w:cs="宋体"/>
          <w:snapToGrid w:val="0"/>
          <w:color w:val="000000"/>
          <w:spacing w:val="-106"/>
          <w:kern w:val="0"/>
          <w:sz w:val="22"/>
          <w:szCs w:val="22"/>
          <w:highlight w:val="none"/>
          <w:lang w:val="en-US" w:eastAsia="en-US" w:bidi="ar-SA"/>
        </w:rPr>
        <w:t xml:space="preserve"> </w:t>
      </w:r>
      <w:r>
        <w:rPr>
          <w:rFonts w:ascii="宋体" w:hAnsi="宋体" w:eastAsia="宋体" w:cs="宋体"/>
          <w:snapToGrid w:val="0"/>
          <w:color w:val="000000"/>
          <w:spacing w:val="-4"/>
          <w:kern w:val="0"/>
          <w:sz w:val="22"/>
          <w:szCs w:val="22"/>
          <w:highlight w:val="none"/>
          <w:lang w:val="en-US" w:eastAsia="en-US" w:bidi="ar-SA"/>
        </w:rPr>
        <w:t>天内未送达货物视同不能交</w:t>
      </w:r>
      <w:r>
        <w:rPr>
          <w:rFonts w:ascii="宋体" w:hAnsi="宋体" w:eastAsia="宋体" w:cs="宋体"/>
          <w:snapToGrid w:val="0"/>
          <w:color w:val="000000"/>
          <w:spacing w:val="1"/>
          <w:kern w:val="0"/>
          <w:sz w:val="22"/>
          <w:szCs w:val="22"/>
          <w:highlight w:val="none"/>
          <w:lang w:val="en-US" w:eastAsia="en-US" w:bidi="ar-SA"/>
        </w:rPr>
        <w:t>货，甲方有权采取其他措施保证采购需求。</w:t>
      </w:r>
    </w:p>
    <w:p>
      <w:pPr>
        <w:kinsoku w:val="0"/>
        <w:autoSpaceDE w:val="0"/>
        <w:autoSpaceDN w:val="0"/>
        <w:adjustRightInd w:val="0"/>
        <w:snapToGrid w:val="0"/>
        <w:spacing w:before="173" w:line="360" w:lineRule="auto"/>
        <w:ind w:left="58" w:right="91" w:firstLine="460"/>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4"/>
          <w:kern w:val="0"/>
          <w:sz w:val="22"/>
          <w:szCs w:val="22"/>
          <w:highlight w:val="none"/>
          <w:lang w:val="en-US" w:eastAsia="en-US" w:bidi="ar-SA"/>
        </w:rPr>
        <w:t>3.交货：乙方按照国家规定的卸运、码放要</w:t>
      </w:r>
      <w:r>
        <w:rPr>
          <w:rFonts w:ascii="宋体" w:hAnsi="宋体" w:eastAsia="宋体" w:cs="宋体"/>
          <w:snapToGrid w:val="0"/>
          <w:color w:val="000000"/>
          <w:spacing w:val="-5"/>
          <w:kern w:val="0"/>
          <w:sz w:val="22"/>
          <w:szCs w:val="22"/>
          <w:highlight w:val="none"/>
          <w:lang w:val="en-US" w:eastAsia="en-US" w:bidi="ar-SA"/>
        </w:rPr>
        <w:t>求和甲方的安全管理要求， 送达甲方指定</w:t>
      </w:r>
      <w:r>
        <w:rPr>
          <w:rFonts w:ascii="宋体" w:hAnsi="宋体" w:eastAsia="宋体" w:cs="宋体"/>
          <w:snapToGrid w:val="0"/>
          <w:color w:val="000000"/>
          <w:kern w:val="0"/>
          <w:sz w:val="22"/>
          <w:szCs w:val="22"/>
          <w:highlight w:val="none"/>
          <w:lang w:val="en-US" w:eastAsia="en-US" w:bidi="ar-SA"/>
        </w:rPr>
        <w:t xml:space="preserve"> </w:t>
      </w:r>
      <w:r>
        <w:rPr>
          <w:rFonts w:ascii="宋体" w:hAnsi="宋体" w:eastAsia="宋体" w:cs="宋体"/>
          <w:snapToGrid w:val="0"/>
          <w:color w:val="000000"/>
          <w:spacing w:val="-2"/>
          <w:kern w:val="0"/>
          <w:sz w:val="22"/>
          <w:szCs w:val="22"/>
          <w:highlight w:val="none"/>
          <w:lang w:val="en-US" w:eastAsia="en-US" w:bidi="ar-SA"/>
        </w:rPr>
        <w:t>的合肥地区地点，并承担所有的安全责任。乙方交货时与甲方接收人员签订接收单据，双</w:t>
      </w:r>
      <w:r>
        <w:rPr>
          <w:rFonts w:ascii="宋体" w:hAnsi="宋体" w:eastAsia="宋体" w:cs="宋体"/>
          <w:snapToGrid w:val="0"/>
          <w:color w:val="000000"/>
          <w:spacing w:val="-1"/>
          <w:kern w:val="0"/>
          <w:sz w:val="22"/>
          <w:szCs w:val="22"/>
          <w:highlight w:val="none"/>
          <w:lang w:val="en-US" w:eastAsia="en-US" w:bidi="ar-SA"/>
        </w:rPr>
        <w:t>方各执一份。</w:t>
      </w:r>
    </w:p>
    <w:p>
      <w:pPr>
        <w:kinsoku w:val="0"/>
        <w:autoSpaceDE w:val="0"/>
        <w:autoSpaceDN w:val="0"/>
        <w:adjustRightInd w:val="0"/>
        <w:snapToGrid w:val="0"/>
        <w:spacing w:before="171" w:line="223" w:lineRule="auto"/>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10"/>
          <w:kern w:val="0"/>
          <w:sz w:val="22"/>
          <w:szCs w:val="22"/>
          <w:highlight w:val="none"/>
          <w:lang w:val="en-US" w:eastAsia="en-US" w:bidi="ar-SA"/>
          <w14:textOutline w14:w="4441" w14:cap="flat" w14:cmpd="sng">
            <w14:solidFill>
              <w14:srgbClr w14:val="000000"/>
            </w14:solidFill>
            <w14:prstDash w14:val="solid"/>
            <w14:miter w14:val="0"/>
          </w14:textOutline>
        </w:rPr>
        <w:t>第五条</w:t>
      </w:r>
      <w:r>
        <w:rPr>
          <w:rFonts w:ascii="宋体" w:hAnsi="宋体" w:eastAsia="宋体" w:cs="宋体"/>
          <w:snapToGrid w:val="0"/>
          <w:color w:val="000000"/>
          <w:spacing w:val="-22"/>
          <w:kern w:val="0"/>
          <w:sz w:val="22"/>
          <w:szCs w:val="22"/>
          <w:highlight w:val="none"/>
          <w:lang w:val="en-US" w:eastAsia="en-US" w:bidi="ar-SA"/>
        </w:rPr>
        <w:t xml:space="preserve"> </w:t>
      </w:r>
      <w:r>
        <w:rPr>
          <w:rFonts w:ascii="宋体" w:hAnsi="宋体" w:eastAsia="宋体" w:cs="宋体"/>
          <w:snapToGrid w:val="0"/>
          <w:color w:val="000000"/>
          <w:spacing w:val="10"/>
          <w:kern w:val="0"/>
          <w:sz w:val="22"/>
          <w:szCs w:val="22"/>
          <w:highlight w:val="none"/>
          <w:lang w:val="en-US" w:eastAsia="en-US" w:bidi="ar-SA"/>
          <w14:textOutline w14:w="4441" w14:cap="flat" w14:cmpd="sng">
            <w14:solidFill>
              <w14:srgbClr w14:val="000000"/>
            </w14:solidFill>
            <w14:prstDash w14:val="solid"/>
            <w14:miter w14:val="0"/>
          </w14:textOutline>
        </w:rPr>
        <w:t>付款方式</w:t>
      </w:r>
    </w:p>
    <w:p>
      <w:pPr>
        <w:keepNext w:val="0"/>
        <w:keepLines w:val="0"/>
        <w:pageBreakBefore w:val="0"/>
        <w:widowControl/>
        <w:kinsoku w:val="0"/>
        <w:wordWrap/>
        <w:overflowPunct/>
        <w:topLinePunct w:val="0"/>
        <w:autoSpaceDE w:val="0"/>
        <w:autoSpaceDN w:val="0"/>
        <w:bidi w:val="0"/>
        <w:adjustRightInd w:val="0"/>
        <w:snapToGrid w:val="0"/>
        <w:spacing w:before="100" w:line="360" w:lineRule="auto"/>
        <w:ind w:left="40" w:right="79" w:firstLine="476"/>
        <w:jc w:val="left"/>
        <w:textAlignment w:val="baseline"/>
        <w:rPr>
          <w:rFonts w:hint="eastAsia" w:ascii="宋体" w:hAnsi="宋体" w:eastAsia="宋体" w:cs="宋体"/>
          <w:snapToGrid w:val="0"/>
          <w:color w:val="000000"/>
          <w:spacing w:val="-1"/>
          <w:kern w:val="0"/>
          <w:sz w:val="22"/>
          <w:szCs w:val="22"/>
          <w:highlight w:val="none"/>
          <w:lang w:val="en-US" w:eastAsia="zh-CN" w:bidi="ar-SA"/>
        </w:rPr>
      </w:pPr>
      <w:r>
        <w:rPr>
          <w:rFonts w:hint="eastAsia" w:ascii="宋体" w:hAnsi="宋体" w:eastAsia="宋体" w:cs="宋体"/>
          <w:b/>
          <w:bCs/>
          <w:snapToGrid w:val="0"/>
          <w:color w:val="000000"/>
          <w:spacing w:val="-1"/>
          <w:kern w:val="0"/>
          <w:sz w:val="22"/>
          <w:szCs w:val="22"/>
          <w:highlight w:val="none"/>
          <w:lang w:val="en-US" w:eastAsia="en-US" w:bidi="ar-SA"/>
        </w:rPr>
        <w:t>1、供应商按采购人要求分批次更换车辆电池组及相关组件，采购人据实结算付款。更换完成，经采购人及相关部门验收合格后据实结算并于30 日内支付结算价款的95%，剩余5%结算价款作为质量保证金，免费质保期满 2</w:t>
      </w:r>
      <w:r>
        <w:rPr>
          <w:rFonts w:hint="eastAsia" w:ascii="宋体" w:hAnsi="宋体" w:eastAsia="宋体" w:cs="宋体"/>
          <w:b/>
          <w:bCs/>
          <w:snapToGrid w:val="0"/>
          <w:color w:val="000000"/>
          <w:spacing w:val="-1"/>
          <w:kern w:val="0"/>
          <w:sz w:val="22"/>
          <w:szCs w:val="22"/>
          <w:highlight w:val="none"/>
          <w:lang w:val="en-US" w:eastAsia="zh-CN" w:bidi="ar-SA"/>
        </w:rPr>
        <w:t xml:space="preserve"> </w:t>
      </w:r>
      <w:r>
        <w:rPr>
          <w:rFonts w:hint="eastAsia" w:ascii="宋体" w:hAnsi="宋体" w:eastAsia="宋体" w:cs="宋体"/>
          <w:b/>
          <w:bCs/>
          <w:snapToGrid w:val="0"/>
          <w:color w:val="000000"/>
          <w:spacing w:val="-1"/>
          <w:kern w:val="0"/>
          <w:sz w:val="22"/>
          <w:szCs w:val="22"/>
          <w:highlight w:val="none"/>
          <w:lang w:val="en-US" w:eastAsia="en-US" w:bidi="ar-SA"/>
        </w:rPr>
        <w:t>年时经采购人认可后付清 (无息)。质量保证金提前退还，不免除供应商须承担的免费质保责任，供应商不履行免费质保期内的义务以及</w:t>
      </w:r>
      <w:r>
        <w:rPr>
          <w:rFonts w:hint="eastAsia" w:ascii="宋体" w:hAnsi="宋体" w:eastAsia="宋体" w:cs="宋体"/>
          <w:b/>
          <w:bCs/>
          <w:snapToGrid w:val="0"/>
          <w:color w:val="000000"/>
          <w:spacing w:val="-1"/>
          <w:kern w:val="0"/>
          <w:sz w:val="22"/>
          <w:szCs w:val="22"/>
          <w:highlight w:val="none"/>
          <w:lang w:val="en-US" w:eastAsia="zh-CN" w:bidi="ar-SA"/>
        </w:rPr>
        <w:t>响应</w:t>
      </w:r>
      <w:r>
        <w:rPr>
          <w:rFonts w:hint="eastAsia" w:ascii="宋体" w:hAnsi="宋体" w:eastAsia="宋体" w:cs="宋体"/>
          <w:b/>
          <w:bCs/>
          <w:snapToGrid w:val="0"/>
          <w:color w:val="000000"/>
          <w:spacing w:val="-1"/>
          <w:kern w:val="0"/>
          <w:sz w:val="22"/>
          <w:szCs w:val="22"/>
          <w:highlight w:val="none"/>
          <w:lang w:val="en-US" w:eastAsia="en-US" w:bidi="ar-SA"/>
        </w:rPr>
        <w:t>承诺的，采购人按法律程序向供应商进行索赔和追偿。</w:t>
      </w:r>
    </w:p>
    <w:p>
      <w:pPr>
        <w:kinsoku w:val="0"/>
        <w:autoSpaceDE w:val="0"/>
        <w:autoSpaceDN w:val="0"/>
        <w:adjustRightInd w:val="0"/>
        <w:snapToGrid w:val="0"/>
        <w:spacing w:before="172" w:line="222" w:lineRule="auto"/>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6"/>
          <w:kern w:val="0"/>
          <w:sz w:val="22"/>
          <w:szCs w:val="22"/>
          <w:highlight w:val="none"/>
          <w:lang w:val="en-US" w:eastAsia="en-US" w:bidi="ar-SA"/>
          <w14:textOutline w14:w="4441" w14:cap="flat" w14:cmpd="sng">
            <w14:solidFill>
              <w14:srgbClr w14:val="000000"/>
            </w14:solidFill>
            <w14:prstDash w14:val="solid"/>
            <w14:miter w14:val="0"/>
          </w14:textOutline>
        </w:rPr>
        <w:t>第六条</w:t>
      </w:r>
      <w:r>
        <w:rPr>
          <w:rFonts w:ascii="宋体" w:hAnsi="宋体" w:eastAsia="宋体" w:cs="宋体"/>
          <w:snapToGrid w:val="0"/>
          <w:color w:val="000000"/>
          <w:spacing w:val="1"/>
          <w:kern w:val="0"/>
          <w:sz w:val="22"/>
          <w:szCs w:val="22"/>
          <w:highlight w:val="none"/>
          <w:lang w:val="en-US" w:eastAsia="en-US" w:bidi="ar-SA"/>
        </w:rPr>
        <w:t xml:space="preserve">  </w:t>
      </w:r>
      <w:r>
        <w:rPr>
          <w:rFonts w:ascii="宋体" w:hAnsi="宋体" w:eastAsia="宋体" w:cs="宋体"/>
          <w:snapToGrid w:val="0"/>
          <w:color w:val="000000"/>
          <w:spacing w:val="6"/>
          <w:kern w:val="0"/>
          <w:sz w:val="22"/>
          <w:szCs w:val="22"/>
          <w:highlight w:val="none"/>
          <w:lang w:val="en-US" w:eastAsia="en-US" w:bidi="ar-SA"/>
          <w14:textOutline w14:w="4441" w14:cap="flat" w14:cmpd="sng">
            <w14:solidFill>
              <w14:srgbClr w14:val="000000"/>
            </w14:solidFill>
            <w14:prstDash w14:val="solid"/>
            <w14:miter w14:val="0"/>
          </w14:textOutline>
        </w:rPr>
        <w:t>供货分配</w:t>
      </w:r>
    </w:p>
    <w:p>
      <w:pPr>
        <w:kinsoku w:val="0"/>
        <w:autoSpaceDE w:val="0"/>
        <w:autoSpaceDN w:val="0"/>
        <w:adjustRightInd w:val="0"/>
        <w:snapToGrid w:val="0"/>
        <w:spacing w:before="186" w:line="355" w:lineRule="auto"/>
        <w:ind w:left="514"/>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1"/>
          <w:kern w:val="0"/>
          <w:sz w:val="22"/>
          <w:szCs w:val="22"/>
          <w:highlight w:val="none"/>
          <w:lang w:val="en-US" w:eastAsia="en-US" w:bidi="ar-SA"/>
        </w:rPr>
        <w:t>执行</w:t>
      </w:r>
      <w:r>
        <w:rPr>
          <w:rFonts w:hint="eastAsia" w:ascii="宋体" w:hAnsi="宋体" w:eastAsia="宋体" w:cs="宋体"/>
          <w:snapToGrid w:val="0"/>
          <w:color w:val="000000"/>
          <w:spacing w:val="1"/>
          <w:kern w:val="0"/>
          <w:sz w:val="22"/>
          <w:szCs w:val="22"/>
          <w:highlight w:val="none"/>
          <w:u w:val="none" w:color="auto"/>
          <w:lang w:val="en-US" w:eastAsia="zh-CN" w:bidi="ar-SA"/>
        </w:rPr>
        <w:t>甲方要求</w:t>
      </w:r>
      <w:r>
        <w:rPr>
          <w:rFonts w:ascii="宋体" w:hAnsi="宋体" w:eastAsia="宋体" w:cs="宋体"/>
          <w:snapToGrid w:val="0"/>
          <w:color w:val="000000"/>
          <w:spacing w:val="-21"/>
          <w:kern w:val="0"/>
          <w:sz w:val="22"/>
          <w:szCs w:val="22"/>
          <w:highlight w:val="none"/>
          <w:lang w:val="en-US" w:eastAsia="en-US" w:bidi="ar-SA"/>
        </w:rPr>
        <w:t>，</w:t>
      </w:r>
      <w:r>
        <w:rPr>
          <w:rFonts w:ascii="宋体" w:hAnsi="宋体" w:eastAsia="宋体" w:cs="宋体"/>
          <w:snapToGrid w:val="0"/>
          <w:color w:val="000000"/>
          <w:spacing w:val="1"/>
          <w:kern w:val="0"/>
          <w:sz w:val="22"/>
          <w:szCs w:val="22"/>
          <w:highlight w:val="none"/>
          <w:lang w:val="en-US" w:eastAsia="en-US" w:bidi="ar-SA"/>
        </w:rPr>
        <w:t>最终</w:t>
      </w:r>
      <w:r>
        <w:rPr>
          <w:rFonts w:ascii="宋体" w:hAnsi="宋体" w:eastAsia="宋体" w:cs="宋体"/>
          <w:snapToGrid w:val="0"/>
          <w:color w:val="000000"/>
          <w:kern w:val="0"/>
          <w:sz w:val="22"/>
          <w:szCs w:val="22"/>
          <w:highlight w:val="none"/>
          <w:lang w:val="en-US" w:eastAsia="en-US" w:bidi="ar-SA"/>
        </w:rPr>
        <w:t>解释权归甲方所有。</w:t>
      </w:r>
    </w:p>
    <w:p>
      <w:pPr>
        <w:kinsoku w:val="0"/>
        <w:autoSpaceDE w:val="0"/>
        <w:autoSpaceDN w:val="0"/>
        <w:adjustRightInd w:val="0"/>
        <w:snapToGrid w:val="0"/>
        <w:spacing w:before="186" w:line="223" w:lineRule="auto"/>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7"/>
          <w:kern w:val="0"/>
          <w:sz w:val="22"/>
          <w:szCs w:val="22"/>
          <w:highlight w:val="none"/>
          <w:lang w:val="en-US" w:eastAsia="en-US" w:bidi="ar-SA"/>
          <w14:textOutline w14:w="4441" w14:cap="flat" w14:cmpd="sng">
            <w14:solidFill>
              <w14:srgbClr w14:val="000000"/>
            </w14:solidFill>
            <w14:prstDash w14:val="solid"/>
            <w14:miter w14:val="0"/>
          </w14:textOutline>
        </w:rPr>
        <w:t>第七条</w:t>
      </w:r>
      <w:r>
        <w:rPr>
          <w:rFonts w:ascii="宋体" w:hAnsi="宋体" w:eastAsia="宋体" w:cs="宋体"/>
          <w:snapToGrid w:val="0"/>
          <w:color w:val="000000"/>
          <w:spacing w:val="119"/>
          <w:kern w:val="0"/>
          <w:sz w:val="22"/>
          <w:szCs w:val="22"/>
          <w:highlight w:val="none"/>
          <w:lang w:val="en-US" w:eastAsia="en-US" w:bidi="ar-SA"/>
        </w:rPr>
        <w:t xml:space="preserve"> </w:t>
      </w:r>
      <w:r>
        <w:rPr>
          <w:rFonts w:ascii="宋体" w:hAnsi="宋体" w:eastAsia="宋体" w:cs="宋体"/>
          <w:snapToGrid w:val="0"/>
          <w:color w:val="000000"/>
          <w:spacing w:val="7"/>
          <w:kern w:val="0"/>
          <w:sz w:val="22"/>
          <w:szCs w:val="22"/>
          <w:highlight w:val="none"/>
          <w:lang w:val="en-US" w:eastAsia="en-US" w:bidi="ar-SA"/>
          <w14:textOutline w14:w="4441" w14:cap="flat" w14:cmpd="sng">
            <w14:solidFill>
              <w14:srgbClr w14:val="000000"/>
            </w14:solidFill>
            <w14:prstDash w14:val="solid"/>
            <w14:miter w14:val="0"/>
          </w14:textOutline>
        </w:rPr>
        <w:t>验收</w:t>
      </w:r>
    </w:p>
    <w:p>
      <w:pPr>
        <w:keepNext w:val="0"/>
        <w:keepLines w:val="0"/>
        <w:pageBreakBefore w:val="0"/>
        <w:widowControl/>
        <w:kinsoku w:val="0"/>
        <w:wordWrap/>
        <w:overflowPunct/>
        <w:topLinePunct w:val="0"/>
        <w:autoSpaceDE w:val="0"/>
        <w:autoSpaceDN w:val="0"/>
        <w:bidi w:val="0"/>
        <w:adjustRightInd w:val="0"/>
        <w:snapToGrid w:val="0"/>
        <w:spacing w:before="180" w:line="224" w:lineRule="auto"/>
        <w:ind w:left="57" w:firstLine="420" w:firstLineChars="200"/>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5"/>
          <w:kern w:val="0"/>
          <w:sz w:val="22"/>
          <w:szCs w:val="22"/>
          <w:highlight w:val="none"/>
          <w:lang w:val="en-US" w:eastAsia="en-US" w:bidi="ar-SA"/>
        </w:rPr>
        <w:t>1、</w:t>
      </w:r>
      <w:r>
        <w:rPr>
          <w:rFonts w:hint="eastAsia" w:ascii="宋体" w:hAnsi="宋体" w:eastAsia="宋体" w:cs="宋体"/>
          <w:snapToGrid w:val="0"/>
          <w:color w:val="000000"/>
          <w:spacing w:val="-5"/>
          <w:kern w:val="0"/>
          <w:sz w:val="22"/>
          <w:szCs w:val="22"/>
          <w:highlight w:val="none"/>
          <w:lang w:val="en-US" w:eastAsia="zh-CN" w:bidi="ar-SA"/>
        </w:rPr>
        <w:t>按</w:t>
      </w:r>
      <w:r>
        <w:rPr>
          <w:rFonts w:hint="eastAsia" w:ascii="宋体" w:hAnsi="宋体" w:eastAsia="宋体" w:cs="宋体"/>
          <w:snapToGrid w:val="0"/>
          <w:color w:val="000000"/>
          <w:spacing w:val="-5"/>
          <w:kern w:val="0"/>
          <w:sz w:val="22"/>
          <w:szCs w:val="22"/>
          <w:highlight w:val="none"/>
          <w:u w:val="none" w:color="auto"/>
          <w:lang w:val="en-US" w:eastAsia="zh-CN" w:bidi="ar-SA"/>
        </w:rPr>
        <w:t>项目实际要求</w:t>
      </w:r>
      <w:r>
        <w:rPr>
          <w:rFonts w:ascii="宋体" w:hAnsi="宋体" w:eastAsia="宋体" w:cs="宋体"/>
          <w:snapToGrid w:val="0"/>
          <w:color w:val="000000"/>
          <w:spacing w:val="-1"/>
          <w:kern w:val="0"/>
          <w:sz w:val="22"/>
          <w:szCs w:val="22"/>
          <w:highlight w:val="none"/>
          <w:lang w:val="en-US" w:eastAsia="en-US" w:bidi="ar-SA"/>
        </w:rPr>
        <w:t>执行。</w:t>
      </w:r>
    </w:p>
    <w:p>
      <w:pPr>
        <w:keepNext w:val="0"/>
        <w:keepLines w:val="0"/>
        <w:pageBreakBefore w:val="0"/>
        <w:widowControl/>
        <w:kinsoku w:val="0"/>
        <w:wordWrap/>
        <w:overflowPunct/>
        <w:topLinePunct w:val="0"/>
        <w:autoSpaceDE w:val="0"/>
        <w:autoSpaceDN w:val="0"/>
        <w:bidi w:val="0"/>
        <w:adjustRightInd w:val="0"/>
        <w:snapToGrid w:val="0"/>
        <w:spacing w:before="100" w:line="462" w:lineRule="exact"/>
        <w:ind w:left="44" w:firstLine="432" w:firstLineChars="200"/>
        <w:jc w:val="left"/>
        <w:textAlignment w:val="baseline"/>
        <w:rPr>
          <w:rFonts w:ascii="宋体" w:hAnsi="宋体" w:eastAsia="宋体" w:cs="宋体"/>
          <w:snapToGrid w:val="0"/>
          <w:color w:val="000000"/>
          <w:spacing w:val="-2"/>
          <w:kern w:val="0"/>
          <w:sz w:val="22"/>
          <w:szCs w:val="22"/>
          <w:highlight w:val="none"/>
          <w:lang w:val="en-US" w:eastAsia="en-US" w:bidi="ar-SA"/>
        </w:rPr>
      </w:pPr>
      <w:r>
        <w:rPr>
          <w:rFonts w:ascii="宋体" w:hAnsi="宋体" w:eastAsia="宋体" w:cs="宋体"/>
          <w:snapToGrid w:val="0"/>
          <w:color w:val="000000"/>
          <w:spacing w:val="-2"/>
          <w:kern w:val="0"/>
          <w:sz w:val="22"/>
          <w:szCs w:val="22"/>
          <w:highlight w:val="none"/>
          <w:lang w:val="en-US" w:eastAsia="en-US" w:bidi="ar-SA"/>
        </w:rPr>
        <w:t>2.乙方未在本合同第四条约定的期限内完成交货并通过验收的，须承担由此给甲方造成的损失；出现一次，扣除履约保证金 10%；出现第二次，扣除履约保证金 30%；出现第三次，扣除履约保证金 50%；出现第四次，招标人将直接取消其定点供应商资格、终止合同并没收全部履约保证金</w:t>
      </w:r>
      <w:r>
        <w:rPr>
          <w:rFonts w:hint="eastAsia" w:ascii="宋体" w:hAnsi="宋体" w:eastAsia="宋体" w:cs="宋体"/>
          <w:snapToGrid w:val="0"/>
          <w:color w:val="000000"/>
          <w:spacing w:val="-2"/>
          <w:kern w:val="0"/>
          <w:sz w:val="22"/>
          <w:szCs w:val="22"/>
          <w:highlight w:val="none"/>
          <w:lang w:val="en-US" w:eastAsia="zh-CN" w:bidi="ar-SA"/>
        </w:rPr>
        <w:t>，供应商承担响应损失和赔偿</w:t>
      </w:r>
      <w:r>
        <w:rPr>
          <w:rFonts w:ascii="宋体" w:hAnsi="宋体" w:eastAsia="宋体" w:cs="宋体"/>
          <w:snapToGrid w:val="0"/>
          <w:color w:val="000000"/>
          <w:spacing w:val="-2"/>
          <w:kern w:val="0"/>
          <w:sz w:val="22"/>
          <w:szCs w:val="22"/>
          <w:highlight w:val="none"/>
          <w:lang w:val="en-US" w:eastAsia="en-US" w:bidi="ar-SA"/>
        </w:rPr>
        <w:t>。</w:t>
      </w:r>
    </w:p>
    <w:p>
      <w:pPr>
        <w:kinsoku w:val="0"/>
        <w:autoSpaceDE w:val="0"/>
        <w:autoSpaceDN w:val="0"/>
        <w:adjustRightInd w:val="0"/>
        <w:snapToGrid w:val="0"/>
        <w:spacing w:before="185" w:line="223" w:lineRule="auto"/>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4"/>
          <w:kern w:val="0"/>
          <w:sz w:val="22"/>
          <w:szCs w:val="22"/>
          <w:highlight w:val="none"/>
          <w:lang w:val="en-US" w:eastAsia="en-US" w:bidi="ar-SA"/>
          <w14:textOutline w14:w="4441" w14:cap="flat" w14:cmpd="sng">
            <w14:solidFill>
              <w14:srgbClr w14:val="000000"/>
            </w14:solidFill>
            <w14:prstDash w14:val="solid"/>
            <w14:miter w14:val="0"/>
          </w14:textOutline>
        </w:rPr>
        <w:t>第八条</w:t>
      </w:r>
      <w:r>
        <w:rPr>
          <w:rFonts w:ascii="宋体" w:hAnsi="宋体" w:eastAsia="宋体" w:cs="宋体"/>
          <w:snapToGrid w:val="0"/>
          <w:color w:val="000000"/>
          <w:spacing w:val="118"/>
          <w:kern w:val="0"/>
          <w:sz w:val="22"/>
          <w:szCs w:val="22"/>
          <w:highlight w:val="none"/>
          <w:lang w:val="en-US" w:eastAsia="en-US" w:bidi="ar-SA"/>
        </w:rPr>
        <w:t xml:space="preserve"> </w:t>
      </w:r>
      <w:r>
        <w:rPr>
          <w:rFonts w:ascii="宋体" w:hAnsi="宋体" w:eastAsia="宋体" w:cs="宋体"/>
          <w:snapToGrid w:val="0"/>
          <w:color w:val="000000"/>
          <w:spacing w:val="4"/>
          <w:kern w:val="0"/>
          <w:sz w:val="22"/>
          <w:szCs w:val="22"/>
          <w:highlight w:val="none"/>
          <w:lang w:val="en-US" w:eastAsia="en-US" w:bidi="ar-SA"/>
          <w14:textOutline w14:w="4441" w14:cap="flat" w14:cmpd="sng">
            <w14:solidFill>
              <w14:srgbClr w14:val="000000"/>
            </w14:solidFill>
            <w14:prstDash w14:val="solid"/>
            <w14:miter w14:val="0"/>
          </w14:textOutline>
        </w:rPr>
        <w:t>对产品提出异议的时间和办法</w:t>
      </w:r>
    </w:p>
    <w:p>
      <w:pPr>
        <w:kinsoku w:val="0"/>
        <w:autoSpaceDE w:val="0"/>
        <w:autoSpaceDN w:val="0"/>
        <w:adjustRightInd w:val="0"/>
        <w:snapToGrid w:val="0"/>
        <w:spacing w:before="172" w:line="360" w:lineRule="auto"/>
        <w:ind w:left="41" w:right="62" w:firstLine="490"/>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6"/>
          <w:kern w:val="0"/>
          <w:sz w:val="22"/>
          <w:szCs w:val="22"/>
          <w:highlight w:val="none"/>
          <w:lang w:val="en-US" w:eastAsia="en-US" w:bidi="ar-SA"/>
        </w:rPr>
        <w:t>1.甲方在安装验收中，如果发现产品不符合合同约定的，</w:t>
      </w:r>
      <w:r>
        <w:rPr>
          <w:rFonts w:ascii="宋体" w:hAnsi="宋体" w:eastAsia="宋体" w:cs="宋体"/>
          <w:snapToGrid w:val="0"/>
          <w:color w:val="000000"/>
          <w:spacing w:val="-7"/>
          <w:kern w:val="0"/>
          <w:sz w:val="22"/>
          <w:szCs w:val="22"/>
          <w:highlight w:val="none"/>
          <w:lang w:val="en-US" w:eastAsia="en-US" w:bidi="ar-SA"/>
        </w:rPr>
        <w:t>应一面妥为保管，一面在</w:t>
      </w:r>
      <w:r>
        <w:rPr>
          <w:rFonts w:ascii="宋体" w:hAnsi="宋体" w:eastAsia="宋体" w:cs="宋体"/>
          <w:snapToGrid w:val="0"/>
          <w:color w:val="000000"/>
          <w:spacing w:val="-62"/>
          <w:kern w:val="0"/>
          <w:sz w:val="22"/>
          <w:szCs w:val="22"/>
          <w:highlight w:val="none"/>
          <w:lang w:val="en-US" w:eastAsia="en-US" w:bidi="ar-SA"/>
        </w:rPr>
        <w:t xml:space="preserve"> </w:t>
      </w:r>
      <w:r>
        <w:rPr>
          <w:rFonts w:ascii="宋体" w:hAnsi="宋体" w:eastAsia="宋体" w:cs="宋体"/>
          <w:snapToGrid w:val="0"/>
          <w:color w:val="000000"/>
          <w:spacing w:val="-7"/>
          <w:kern w:val="0"/>
          <w:sz w:val="22"/>
          <w:szCs w:val="22"/>
          <w:highlight w:val="none"/>
          <w:u w:val="single" w:color="auto"/>
          <w:lang w:val="en-US" w:eastAsia="en-US" w:bidi="ar-SA"/>
        </w:rPr>
        <w:t xml:space="preserve">5 </w:t>
      </w:r>
      <w:r>
        <w:rPr>
          <w:rFonts w:ascii="宋体" w:hAnsi="宋体" w:eastAsia="宋体" w:cs="宋体"/>
          <w:snapToGrid w:val="0"/>
          <w:color w:val="000000"/>
          <w:spacing w:val="-7"/>
          <w:kern w:val="0"/>
          <w:sz w:val="22"/>
          <w:szCs w:val="22"/>
          <w:highlight w:val="none"/>
          <w:lang w:val="en-US" w:eastAsia="en-US" w:bidi="ar-SA"/>
        </w:rPr>
        <w:t>个</w:t>
      </w:r>
      <w:r>
        <w:rPr>
          <w:rFonts w:ascii="宋体" w:hAnsi="宋体" w:eastAsia="宋体" w:cs="宋体"/>
          <w:snapToGrid w:val="0"/>
          <w:color w:val="000000"/>
          <w:kern w:val="0"/>
          <w:sz w:val="22"/>
          <w:szCs w:val="22"/>
          <w:highlight w:val="none"/>
          <w:lang w:val="en-US" w:eastAsia="en-US" w:bidi="ar-SA"/>
        </w:rPr>
        <w:t xml:space="preserve"> </w:t>
      </w:r>
      <w:r>
        <w:rPr>
          <w:rFonts w:ascii="宋体" w:hAnsi="宋体" w:eastAsia="宋体" w:cs="宋体"/>
          <w:snapToGrid w:val="0"/>
          <w:color w:val="000000"/>
          <w:spacing w:val="2"/>
          <w:kern w:val="0"/>
          <w:sz w:val="22"/>
          <w:szCs w:val="22"/>
          <w:highlight w:val="none"/>
          <w:lang w:val="en-US" w:eastAsia="en-US" w:bidi="ar-SA"/>
        </w:rPr>
        <w:t>工作日内向乙方书面提出异议。具体说明产品不符</w:t>
      </w:r>
      <w:r>
        <w:rPr>
          <w:rFonts w:ascii="宋体" w:hAnsi="宋体" w:eastAsia="宋体" w:cs="宋体"/>
          <w:snapToGrid w:val="0"/>
          <w:color w:val="000000"/>
          <w:spacing w:val="1"/>
          <w:kern w:val="0"/>
          <w:sz w:val="22"/>
          <w:szCs w:val="22"/>
          <w:highlight w:val="none"/>
          <w:lang w:val="en-US" w:eastAsia="en-US" w:bidi="ar-SA"/>
        </w:rPr>
        <w:t>合规定的内容并附相关验收材料，同时提出不符合规定产品的处理意见。</w:t>
      </w:r>
    </w:p>
    <w:p>
      <w:pPr>
        <w:keepNext w:val="0"/>
        <w:keepLines w:val="0"/>
        <w:pageBreakBefore w:val="0"/>
        <w:widowControl/>
        <w:kinsoku w:val="0"/>
        <w:wordWrap/>
        <w:overflowPunct/>
        <w:topLinePunct w:val="0"/>
        <w:autoSpaceDE w:val="0"/>
        <w:autoSpaceDN w:val="0"/>
        <w:bidi w:val="0"/>
        <w:adjustRightInd w:val="0"/>
        <w:snapToGrid w:val="0"/>
        <w:spacing w:before="100" w:line="224" w:lineRule="auto"/>
        <w:ind w:left="516"/>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2"/>
          <w:kern w:val="0"/>
          <w:sz w:val="22"/>
          <w:szCs w:val="22"/>
          <w:highlight w:val="none"/>
          <w:lang w:val="en-US" w:eastAsia="en-US" w:bidi="ar-SA"/>
        </w:rPr>
        <w:t>2.甲方因使用、保管、保养不善等造成产品质量下降的，</w:t>
      </w:r>
      <w:r>
        <w:rPr>
          <w:rFonts w:ascii="宋体" w:hAnsi="宋体" w:eastAsia="宋体" w:cs="宋体"/>
          <w:snapToGrid w:val="0"/>
          <w:color w:val="000000"/>
          <w:spacing w:val="-3"/>
          <w:kern w:val="0"/>
          <w:sz w:val="22"/>
          <w:szCs w:val="22"/>
          <w:highlight w:val="none"/>
          <w:lang w:val="en-US" w:eastAsia="en-US" w:bidi="ar-SA"/>
        </w:rPr>
        <w:t>不得提出异议。</w:t>
      </w:r>
    </w:p>
    <w:p>
      <w:pPr>
        <w:kinsoku w:val="0"/>
        <w:autoSpaceDE w:val="0"/>
        <w:autoSpaceDN w:val="0"/>
        <w:adjustRightInd w:val="0"/>
        <w:snapToGrid w:val="0"/>
        <w:spacing w:before="170" w:line="355" w:lineRule="auto"/>
        <w:ind w:right="65" w:firstLine="420" w:firstLineChars="200"/>
        <w:jc w:val="both"/>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5"/>
          <w:kern w:val="0"/>
          <w:sz w:val="22"/>
          <w:szCs w:val="22"/>
          <w:highlight w:val="none"/>
          <w:lang w:val="en-US" w:eastAsia="en-US" w:bidi="ar-SA"/>
        </w:rPr>
        <w:t>3.乙方在接到甲方异议后，</w:t>
      </w:r>
      <w:r>
        <w:rPr>
          <w:rFonts w:ascii="宋体" w:hAnsi="宋体" w:eastAsia="宋体" w:cs="宋体"/>
          <w:snapToGrid w:val="0"/>
          <w:color w:val="000000"/>
          <w:spacing w:val="-40"/>
          <w:kern w:val="0"/>
          <w:sz w:val="22"/>
          <w:szCs w:val="22"/>
          <w:highlight w:val="none"/>
          <w:lang w:val="en-US" w:eastAsia="en-US" w:bidi="ar-SA"/>
        </w:rPr>
        <w:t xml:space="preserve"> </w:t>
      </w:r>
      <w:r>
        <w:rPr>
          <w:rFonts w:ascii="宋体" w:hAnsi="宋体" w:eastAsia="宋体" w:cs="宋体"/>
          <w:snapToGrid w:val="0"/>
          <w:color w:val="000000"/>
          <w:spacing w:val="-5"/>
          <w:kern w:val="0"/>
          <w:sz w:val="22"/>
          <w:szCs w:val="22"/>
          <w:highlight w:val="none"/>
          <w:lang w:val="en-US" w:eastAsia="en-US" w:bidi="ar-SA"/>
        </w:rPr>
        <w:t>应在</w:t>
      </w:r>
      <w:r>
        <w:rPr>
          <w:rFonts w:ascii="宋体" w:hAnsi="宋体" w:eastAsia="宋体" w:cs="宋体"/>
          <w:snapToGrid w:val="0"/>
          <w:color w:val="000000"/>
          <w:spacing w:val="-5"/>
          <w:kern w:val="0"/>
          <w:sz w:val="22"/>
          <w:szCs w:val="22"/>
          <w:highlight w:val="none"/>
          <w:u w:val="single" w:color="auto"/>
          <w:lang w:val="en-US" w:eastAsia="en-US" w:bidi="ar-SA"/>
        </w:rPr>
        <w:t xml:space="preserve"> 2 </w:t>
      </w:r>
      <w:r>
        <w:rPr>
          <w:rFonts w:ascii="宋体" w:hAnsi="宋体" w:eastAsia="宋体" w:cs="宋体"/>
          <w:snapToGrid w:val="0"/>
          <w:color w:val="000000"/>
          <w:spacing w:val="-5"/>
          <w:kern w:val="0"/>
          <w:sz w:val="22"/>
          <w:szCs w:val="22"/>
          <w:highlight w:val="none"/>
          <w:lang w:val="en-US" w:eastAsia="en-US" w:bidi="ar-SA"/>
        </w:rPr>
        <w:t>个工作日内负责处理，</w:t>
      </w:r>
      <w:r>
        <w:rPr>
          <w:rFonts w:ascii="宋体" w:hAnsi="宋体" w:eastAsia="宋体" w:cs="宋体"/>
          <w:snapToGrid w:val="0"/>
          <w:color w:val="000000"/>
          <w:spacing w:val="-52"/>
          <w:kern w:val="0"/>
          <w:sz w:val="22"/>
          <w:szCs w:val="22"/>
          <w:highlight w:val="none"/>
          <w:lang w:val="en-US" w:eastAsia="en-US" w:bidi="ar-SA"/>
        </w:rPr>
        <w:t xml:space="preserve"> </w:t>
      </w:r>
      <w:r>
        <w:rPr>
          <w:rFonts w:ascii="宋体" w:hAnsi="宋体" w:eastAsia="宋体" w:cs="宋体"/>
          <w:snapToGrid w:val="0"/>
          <w:color w:val="000000"/>
          <w:spacing w:val="-5"/>
          <w:kern w:val="0"/>
          <w:sz w:val="22"/>
          <w:szCs w:val="22"/>
          <w:highlight w:val="none"/>
          <w:lang w:val="en-US" w:eastAsia="en-US" w:bidi="ar-SA"/>
        </w:rPr>
        <w:t>否则，即视为默认甲方提出</w:t>
      </w:r>
      <w:r>
        <w:rPr>
          <w:rFonts w:ascii="宋体" w:hAnsi="宋体" w:eastAsia="宋体" w:cs="宋体"/>
          <w:snapToGrid w:val="0"/>
          <w:color w:val="000000"/>
          <w:spacing w:val="-3"/>
          <w:kern w:val="0"/>
          <w:sz w:val="22"/>
          <w:szCs w:val="22"/>
          <w:highlight w:val="none"/>
          <w:lang w:val="en-US" w:eastAsia="en-US" w:bidi="ar-SA"/>
        </w:rPr>
        <w:t>的异议和处理意见。</w:t>
      </w:r>
    </w:p>
    <w:p>
      <w:pPr>
        <w:kinsoku w:val="0"/>
        <w:autoSpaceDE w:val="0"/>
        <w:autoSpaceDN w:val="0"/>
        <w:adjustRightInd w:val="0"/>
        <w:snapToGrid w:val="0"/>
        <w:spacing w:before="186" w:line="461" w:lineRule="exact"/>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4"/>
          <w:kern w:val="0"/>
          <w:position w:val="16"/>
          <w:sz w:val="22"/>
          <w:szCs w:val="22"/>
          <w:highlight w:val="none"/>
          <w:lang w:val="en-US" w:eastAsia="en-US" w:bidi="ar-SA"/>
          <w14:textOutline w14:w="4441" w14:cap="flat" w14:cmpd="sng">
            <w14:solidFill>
              <w14:srgbClr w14:val="000000"/>
            </w14:solidFill>
            <w14:prstDash w14:val="solid"/>
            <w14:miter w14:val="0"/>
          </w14:textOutline>
        </w:rPr>
        <w:t>第九条</w:t>
      </w:r>
      <w:r>
        <w:rPr>
          <w:rFonts w:ascii="宋体" w:hAnsi="宋体" w:eastAsia="宋体" w:cs="宋体"/>
          <w:snapToGrid w:val="0"/>
          <w:color w:val="000000"/>
          <w:spacing w:val="58"/>
          <w:kern w:val="0"/>
          <w:position w:val="16"/>
          <w:sz w:val="22"/>
          <w:szCs w:val="22"/>
          <w:highlight w:val="none"/>
          <w:lang w:val="en-US" w:eastAsia="en-US" w:bidi="ar-SA"/>
        </w:rPr>
        <w:t xml:space="preserve"> </w:t>
      </w:r>
      <w:r>
        <w:rPr>
          <w:rFonts w:ascii="宋体" w:hAnsi="宋体" w:eastAsia="宋体" w:cs="宋体"/>
          <w:snapToGrid w:val="0"/>
          <w:color w:val="000000"/>
          <w:spacing w:val="4"/>
          <w:kern w:val="0"/>
          <w:position w:val="16"/>
          <w:sz w:val="22"/>
          <w:szCs w:val="22"/>
          <w:highlight w:val="none"/>
          <w:lang w:val="en-US" w:eastAsia="en-US" w:bidi="ar-SA"/>
        </w:rPr>
        <w:t>乙方应提供完善周到的技术支持和售后服务，否则甲方</w:t>
      </w:r>
      <w:r>
        <w:rPr>
          <w:rFonts w:ascii="宋体" w:hAnsi="宋体" w:eastAsia="宋体" w:cs="宋体"/>
          <w:snapToGrid w:val="0"/>
          <w:color w:val="000000"/>
          <w:spacing w:val="3"/>
          <w:kern w:val="0"/>
          <w:position w:val="16"/>
          <w:sz w:val="22"/>
          <w:szCs w:val="22"/>
          <w:highlight w:val="none"/>
          <w:lang w:val="en-US" w:eastAsia="en-US" w:bidi="ar-SA"/>
        </w:rPr>
        <w:t>将在进行事实调查的基础</w:t>
      </w:r>
    </w:p>
    <w:p>
      <w:pPr>
        <w:kinsoku w:val="0"/>
        <w:autoSpaceDE w:val="0"/>
        <w:autoSpaceDN w:val="0"/>
        <w:adjustRightInd w:val="0"/>
        <w:snapToGrid w:val="0"/>
        <w:spacing w:line="223" w:lineRule="auto"/>
        <w:ind w:left="40"/>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1"/>
          <w:kern w:val="0"/>
          <w:sz w:val="22"/>
          <w:szCs w:val="22"/>
          <w:highlight w:val="none"/>
          <w:lang w:val="en-US" w:eastAsia="en-US" w:bidi="ar-SA"/>
        </w:rPr>
        <w:t>上，视情节轻重从乙方的履约保证金中扣除部分或全部补偿甲方。</w:t>
      </w:r>
    </w:p>
    <w:p>
      <w:pPr>
        <w:numPr>
          <w:ilvl w:val="0"/>
          <w:numId w:val="0"/>
        </w:numPr>
        <w:kinsoku w:val="0"/>
        <w:autoSpaceDE w:val="0"/>
        <w:autoSpaceDN w:val="0"/>
        <w:adjustRightInd w:val="0"/>
        <w:snapToGrid w:val="0"/>
        <w:spacing w:before="185" w:line="355" w:lineRule="auto"/>
        <w:ind w:left="44" w:leftChars="0" w:right="58" w:rightChars="0" w:firstLine="631" w:firstLineChars="0"/>
        <w:jc w:val="left"/>
        <w:textAlignment w:val="baseline"/>
        <w:rPr>
          <w:rFonts w:ascii="宋体" w:hAnsi="宋体" w:eastAsia="宋体" w:cs="宋体"/>
          <w:snapToGrid w:val="0"/>
          <w:color w:val="000000"/>
          <w:spacing w:val="-1"/>
          <w:kern w:val="0"/>
          <w:sz w:val="22"/>
          <w:szCs w:val="22"/>
          <w:highlight w:val="none"/>
          <w:lang w:val="en-US" w:eastAsia="en-US" w:bidi="ar-SA"/>
        </w:rPr>
      </w:pPr>
      <w:r>
        <w:rPr>
          <w:rFonts w:ascii="宋体" w:hAnsi="宋体" w:eastAsia="宋体" w:cs="宋体"/>
          <w:snapToGrid w:val="0"/>
          <w:color w:val="000000"/>
          <w:spacing w:val="-1"/>
          <w:kern w:val="0"/>
          <w:sz w:val="22"/>
          <w:szCs w:val="22"/>
          <w:highlight w:val="none"/>
          <w:lang w:val="en-US" w:eastAsia="en-US" w:bidi="ar-SA"/>
        </w:rPr>
        <w:t>1.</w:t>
      </w:r>
      <w:r>
        <w:rPr>
          <w:rFonts w:ascii="宋体" w:hAnsi="宋体" w:eastAsia="宋体" w:cs="宋体"/>
          <w:snapToGrid w:val="0"/>
          <w:color w:val="000000"/>
          <w:spacing w:val="-4"/>
          <w:kern w:val="0"/>
          <w:sz w:val="22"/>
          <w:szCs w:val="22"/>
          <w:highlight w:val="none"/>
          <w:lang w:val="en-US" w:eastAsia="en-US" w:bidi="ar-SA"/>
        </w:rPr>
        <w:t>质保：</w:t>
      </w:r>
      <w:r>
        <w:rPr>
          <w:rFonts w:hint="eastAsia" w:ascii="宋体" w:hAnsi="宋体" w:eastAsia="宋体" w:cs="宋体"/>
          <w:b/>
          <w:bCs/>
          <w:snapToGrid w:val="0"/>
          <w:color w:val="000000"/>
          <w:spacing w:val="-4"/>
          <w:kern w:val="0"/>
          <w:sz w:val="22"/>
          <w:szCs w:val="22"/>
          <w:highlight w:val="none"/>
          <w:lang w:val="en-US" w:eastAsia="en-US" w:bidi="ar-SA"/>
        </w:rPr>
        <w:t>每车免费质保期均为自验收合格之日起</w:t>
      </w:r>
      <w:r>
        <w:rPr>
          <w:rFonts w:hint="eastAsia" w:ascii="宋体" w:hAnsi="宋体" w:eastAsia="宋体" w:cs="宋体"/>
          <w:b/>
          <w:bCs/>
          <w:snapToGrid w:val="0"/>
          <w:color w:val="000000"/>
          <w:spacing w:val="-4"/>
          <w:kern w:val="0"/>
          <w:sz w:val="22"/>
          <w:szCs w:val="22"/>
          <w:highlight w:val="none"/>
          <w:u w:val="single"/>
          <w:lang w:val="en-US" w:eastAsia="zh-CN" w:bidi="ar-SA"/>
        </w:rPr>
        <w:t xml:space="preserve">    </w:t>
      </w:r>
      <w:r>
        <w:rPr>
          <w:rFonts w:hint="eastAsia" w:ascii="宋体" w:hAnsi="宋体" w:eastAsia="宋体" w:cs="宋体"/>
          <w:b/>
          <w:bCs/>
          <w:snapToGrid w:val="0"/>
          <w:color w:val="000000"/>
          <w:spacing w:val="-4"/>
          <w:kern w:val="0"/>
          <w:sz w:val="22"/>
          <w:szCs w:val="22"/>
          <w:highlight w:val="none"/>
          <w:lang w:val="en-US" w:eastAsia="en-US" w:bidi="ar-SA"/>
        </w:rPr>
        <w:t>年</w:t>
      </w:r>
      <w:r>
        <w:rPr>
          <w:rFonts w:hint="eastAsia" w:ascii="宋体" w:hAnsi="宋体" w:eastAsia="宋体" w:cs="宋体"/>
          <w:b/>
          <w:bCs/>
          <w:snapToGrid w:val="0"/>
          <w:color w:val="000000"/>
          <w:spacing w:val="-4"/>
          <w:kern w:val="0"/>
          <w:sz w:val="22"/>
          <w:szCs w:val="22"/>
          <w:highlight w:val="none"/>
          <w:lang w:val="en-US" w:eastAsia="zh-CN" w:bidi="ar-SA"/>
        </w:rPr>
        <w:t>（不少于5年，</w:t>
      </w:r>
      <w:r>
        <w:rPr>
          <w:rFonts w:hint="eastAsia" w:ascii="宋体" w:hAnsi="宋体" w:eastAsia="宋体" w:cs="宋体"/>
          <w:b/>
          <w:bCs/>
          <w:snapToGrid w:val="0"/>
          <w:color w:val="000000"/>
          <w:spacing w:val="-4"/>
          <w:kern w:val="0"/>
          <w:sz w:val="22"/>
          <w:szCs w:val="22"/>
          <w:highlight w:val="none"/>
          <w:lang w:val="en-US" w:eastAsia="en-US" w:bidi="ar-SA"/>
        </w:rPr>
        <w:t>按供应商承诺的免费质保期执行</w:t>
      </w:r>
      <w:r>
        <w:rPr>
          <w:rFonts w:hint="eastAsia" w:ascii="宋体" w:hAnsi="宋体" w:eastAsia="宋体" w:cs="宋体"/>
          <w:b/>
          <w:bCs/>
          <w:snapToGrid w:val="0"/>
          <w:color w:val="000000"/>
          <w:spacing w:val="-4"/>
          <w:kern w:val="0"/>
          <w:sz w:val="22"/>
          <w:szCs w:val="22"/>
          <w:highlight w:val="none"/>
          <w:lang w:val="en-US" w:eastAsia="zh-CN" w:bidi="ar-SA"/>
        </w:rPr>
        <w:t>）</w:t>
      </w:r>
      <w:r>
        <w:rPr>
          <w:rFonts w:hint="eastAsia" w:ascii="宋体" w:hAnsi="宋体" w:eastAsia="宋体" w:cs="宋体"/>
          <w:b/>
          <w:bCs/>
          <w:snapToGrid w:val="0"/>
          <w:color w:val="000000"/>
          <w:spacing w:val="-4"/>
          <w:kern w:val="0"/>
          <w:sz w:val="22"/>
          <w:szCs w:val="22"/>
          <w:highlight w:val="none"/>
          <w:lang w:val="en-US" w:eastAsia="en-US" w:bidi="ar-SA"/>
        </w:rPr>
        <w:t>。</w:t>
      </w:r>
      <w:r>
        <w:rPr>
          <w:rFonts w:hint="eastAsia" w:ascii="宋体" w:hAnsi="宋体" w:eastAsia="宋体" w:cs="宋体"/>
          <w:snapToGrid w:val="0"/>
          <w:color w:val="000000"/>
          <w:spacing w:val="-4"/>
          <w:kern w:val="0"/>
          <w:sz w:val="22"/>
          <w:szCs w:val="22"/>
          <w:highlight w:val="none"/>
          <w:lang w:val="en-US" w:eastAsia="en-US" w:bidi="ar-SA"/>
        </w:rPr>
        <w:t>免费质保期内，由供应商承担免费质保和免费维保</w:t>
      </w:r>
      <w:r>
        <w:rPr>
          <w:rFonts w:hint="eastAsia" w:ascii="宋体" w:hAnsi="宋体" w:eastAsia="宋体" w:cs="宋体"/>
          <w:snapToGrid w:val="0"/>
          <w:color w:val="000000"/>
          <w:spacing w:val="-4"/>
          <w:kern w:val="0"/>
          <w:sz w:val="22"/>
          <w:szCs w:val="22"/>
          <w:highlight w:val="none"/>
          <w:lang w:val="en-US" w:eastAsia="zh-CN" w:bidi="ar-SA"/>
        </w:rPr>
        <w:t>，</w:t>
      </w:r>
      <w:r>
        <w:rPr>
          <w:rFonts w:ascii="宋体" w:hAnsi="宋体" w:eastAsia="宋体" w:cs="宋体"/>
          <w:snapToGrid w:val="0"/>
          <w:color w:val="000000"/>
          <w:spacing w:val="-2"/>
          <w:kern w:val="0"/>
          <w:sz w:val="22"/>
          <w:szCs w:val="22"/>
          <w:highlight w:val="none"/>
          <w:lang w:val="en-US" w:eastAsia="en-US" w:bidi="ar-SA"/>
        </w:rPr>
        <w:t>负责更换有瑕疵的货物、部件或提供相应的质保期内的</w:t>
      </w:r>
      <w:r>
        <w:rPr>
          <w:rFonts w:ascii="宋体" w:hAnsi="宋体" w:eastAsia="宋体" w:cs="宋体"/>
          <w:snapToGrid w:val="0"/>
          <w:color w:val="000000"/>
          <w:spacing w:val="-8"/>
          <w:kern w:val="0"/>
          <w:sz w:val="22"/>
          <w:szCs w:val="22"/>
          <w:highlight w:val="none"/>
          <w:lang w:val="en-US" w:eastAsia="en-US" w:bidi="ar-SA"/>
        </w:rPr>
        <w:t>服务。由此造成的损失，甲方</w:t>
      </w:r>
      <w:r>
        <w:rPr>
          <w:rFonts w:hint="eastAsia" w:ascii="宋体" w:hAnsi="宋体" w:eastAsia="宋体" w:cs="宋体"/>
          <w:snapToGrid w:val="0"/>
          <w:color w:val="000000"/>
          <w:spacing w:val="-8"/>
          <w:kern w:val="0"/>
          <w:sz w:val="22"/>
          <w:szCs w:val="22"/>
          <w:highlight w:val="none"/>
          <w:lang w:val="en-US" w:eastAsia="zh-CN" w:bidi="ar-SA"/>
        </w:rPr>
        <w:t>有权进行</w:t>
      </w:r>
      <w:r>
        <w:rPr>
          <w:rFonts w:ascii="宋体" w:hAnsi="宋体" w:eastAsia="宋体" w:cs="宋体"/>
          <w:snapToGrid w:val="0"/>
          <w:color w:val="000000"/>
          <w:spacing w:val="-8"/>
          <w:kern w:val="0"/>
          <w:sz w:val="22"/>
          <w:szCs w:val="22"/>
          <w:highlight w:val="none"/>
          <w:lang w:val="en-US" w:eastAsia="en-US" w:bidi="ar-SA"/>
        </w:rPr>
        <w:t>索赔。</w:t>
      </w:r>
      <w:r>
        <w:rPr>
          <w:rFonts w:ascii="宋体" w:hAnsi="宋体" w:eastAsia="宋体" w:cs="宋体"/>
          <w:snapToGrid w:val="0"/>
          <w:color w:val="000000"/>
          <w:spacing w:val="-3"/>
          <w:kern w:val="0"/>
          <w:sz w:val="22"/>
          <w:szCs w:val="22"/>
          <w:highlight w:val="none"/>
          <w:lang w:val="en-US" w:eastAsia="en-US" w:bidi="ar-SA"/>
        </w:rPr>
        <w:t>如果乙方在收到报修通知后</w:t>
      </w:r>
      <w:r>
        <w:rPr>
          <w:rFonts w:ascii="宋体" w:hAnsi="宋体" w:eastAsia="宋体" w:cs="宋体"/>
          <w:snapToGrid w:val="0"/>
          <w:color w:val="000000"/>
          <w:spacing w:val="-3"/>
          <w:kern w:val="0"/>
          <w:sz w:val="22"/>
          <w:szCs w:val="22"/>
          <w:highlight w:val="none"/>
          <w:u w:val="single" w:color="auto"/>
          <w:lang w:val="en-US" w:eastAsia="en-US" w:bidi="ar-SA"/>
        </w:rPr>
        <w:t xml:space="preserve">  </w:t>
      </w:r>
      <w:r>
        <w:rPr>
          <w:rFonts w:hint="eastAsia" w:ascii="宋体" w:hAnsi="宋体" w:eastAsia="宋体" w:cs="宋体"/>
          <w:snapToGrid w:val="0"/>
          <w:color w:val="000000"/>
          <w:spacing w:val="-3"/>
          <w:kern w:val="0"/>
          <w:sz w:val="22"/>
          <w:szCs w:val="22"/>
          <w:highlight w:val="none"/>
          <w:u w:val="single" w:color="auto"/>
          <w:lang w:val="en-US" w:eastAsia="zh-CN" w:bidi="ar-SA"/>
        </w:rPr>
        <w:t>7</w:t>
      </w:r>
      <w:r>
        <w:rPr>
          <w:rFonts w:ascii="宋体" w:hAnsi="宋体" w:eastAsia="宋体" w:cs="宋体"/>
          <w:snapToGrid w:val="0"/>
          <w:color w:val="000000"/>
          <w:spacing w:val="-3"/>
          <w:kern w:val="0"/>
          <w:sz w:val="22"/>
          <w:szCs w:val="22"/>
          <w:highlight w:val="none"/>
          <w:u w:val="single" w:color="auto"/>
          <w:lang w:val="en-US" w:eastAsia="en-US" w:bidi="ar-SA"/>
        </w:rPr>
        <w:t xml:space="preserve">  </w:t>
      </w:r>
      <w:r>
        <w:rPr>
          <w:rFonts w:ascii="宋体" w:hAnsi="宋体" w:eastAsia="宋体" w:cs="宋体"/>
          <w:snapToGrid w:val="0"/>
          <w:color w:val="000000"/>
          <w:spacing w:val="-105"/>
          <w:kern w:val="0"/>
          <w:sz w:val="22"/>
          <w:szCs w:val="22"/>
          <w:highlight w:val="none"/>
          <w:lang w:val="en-US" w:eastAsia="en-US" w:bidi="ar-SA"/>
        </w:rPr>
        <w:t xml:space="preserve"> </w:t>
      </w:r>
      <w:r>
        <w:rPr>
          <w:rFonts w:ascii="宋体" w:hAnsi="宋体" w:eastAsia="宋体" w:cs="宋体"/>
          <w:snapToGrid w:val="0"/>
          <w:color w:val="000000"/>
          <w:spacing w:val="-3"/>
          <w:kern w:val="0"/>
          <w:sz w:val="22"/>
          <w:szCs w:val="22"/>
          <w:highlight w:val="none"/>
          <w:lang w:val="en-US" w:eastAsia="en-US" w:bidi="ar-SA"/>
        </w:rPr>
        <w:t>天内没有弥补缺</w:t>
      </w:r>
      <w:r>
        <w:rPr>
          <w:rFonts w:ascii="宋体" w:hAnsi="宋体" w:eastAsia="宋体" w:cs="宋体"/>
          <w:snapToGrid w:val="0"/>
          <w:color w:val="000000"/>
          <w:spacing w:val="-4"/>
          <w:kern w:val="0"/>
          <w:sz w:val="22"/>
          <w:szCs w:val="22"/>
          <w:highlight w:val="none"/>
          <w:lang w:val="en-US" w:eastAsia="en-US" w:bidi="ar-SA"/>
        </w:rPr>
        <w:t>陷，甲方可采取必要的补救措施，</w:t>
      </w:r>
      <w:r>
        <w:rPr>
          <w:rFonts w:ascii="宋体" w:hAnsi="宋体" w:eastAsia="宋体" w:cs="宋体"/>
          <w:snapToGrid w:val="0"/>
          <w:color w:val="000000"/>
          <w:spacing w:val="-69"/>
          <w:kern w:val="0"/>
          <w:sz w:val="22"/>
          <w:szCs w:val="22"/>
          <w:highlight w:val="none"/>
          <w:lang w:val="en-US" w:eastAsia="en-US" w:bidi="ar-SA"/>
        </w:rPr>
        <w:t xml:space="preserve"> </w:t>
      </w:r>
      <w:r>
        <w:rPr>
          <w:rFonts w:ascii="宋体" w:hAnsi="宋体" w:eastAsia="宋体" w:cs="宋体"/>
          <w:snapToGrid w:val="0"/>
          <w:color w:val="000000"/>
          <w:spacing w:val="-4"/>
          <w:kern w:val="0"/>
          <w:sz w:val="22"/>
          <w:szCs w:val="22"/>
          <w:highlight w:val="none"/>
          <w:lang w:val="en-US" w:eastAsia="en-US" w:bidi="ar-SA"/>
        </w:rPr>
        <w:t>但</w:t>
      </w:r>
      <w:r>
        <w:rPr>
          <w:rFonts w:ascii="宋体" w:hAnsi="宋体" w:eastAsia="宋体" w:cs="宋体"/>
          <w:snapToGrid w:val="0"/>
          <w:color w:val="000000"/>
          <w:spacing w:val="-1"/>
          <w:kern w:val="0"/>
          <w:sz w:val="22"/>
          <w:szCs w:val="22"/>
          <w:highlight w:val="none"/>
          <w:lang w:val="en-US" w:eastAsia="en-US" w:bidi="ar-SA"/>
        </w:rPr>
        <w:t>费用和风险由乙方承担。</w:t>
      </w:r>
    </w:p>
    <w:p>
      <w:pPr>
        <w:numPr>
          <w:ilvl w:val="0"/>
          <w:numId w:val="0"/>
        </w:numPr>
        <w:kinsoku w:val="0"/>
        <w:autoSpaceDE w:val="0"/>
        <w:autoSpaceDN w:val="0"/>
        <w:adjustRightInd w:val="0"/>
        <w:snapToGrid w:val="0"/>
        <w:spacing w:before="185" w:line="355" w:lineRule="auto"/>
        <w:ind w:left="675" w:leftChars="0" w:right="58" w:rightChars="0"/>
        <w:jc w:val="left"/>
        <w:textAlignment w:val="baseline"/>
        <w:rPr>
          <w:rFonts w:hint="default" w:ascii="宋体" w:hAnsi="宋体" w:eastAsia="宋体" w:cs="宋体"/>
          <w:snapToGrid w:val="0"/>
          <w:color w:val="000000"/>
          <w:spacing w:val="-1"/>
          <w:kern w:val="0"/>
          <w:sz w:val="22"/>
          <w:szCs w:val="22"/>
          <w:highlight w:val="none"/>
          <w:lang w:val="en-US" w:eastAsia="zh-CN" w:bidi="ar-SA"/>
        </w:rPr>
      </w:pPr>
      <w:r>
        <w:rPr>
          <w:rFonts w:hint="eastAsia" w:ascii="宋体" w:hAnsi="宋体" w:eastAsia="宋体" w:cs="宋体"/>
          <w:snapToGrid w:val="0"/>
          <w:color w:val="000000"/>
          <w:spacing w:val="-1"/>
          <w:kern w:val="0"/>
          <w:sz w:val="22"/>
          <w:szCs w:val="22"/>
          <w:highlight w:val="none"/>
          <w:lang w:val="en-US" w:eastAsia="zh-CN" w:bidi="ar-SA"/>
        </w:rPr>
        <w:t>2.维修：质保期届满后，乙方应对其提供的货物负有维修义务，但所涉及的费用由甲方承担。</w:t>
      </w:r>
    </w:p>
    <w:p>
      <w:pPr>
        <w:kinsoku w:val="0"/>
        <w:autoSpaceDE w:val="0"/>
        <w:autoSpaceDN w:val="0"/>
        <w:adjustRightInd w:val="0"/>
        <w:snapToGrid w:val="0"/>
        <w:spacing w:before="185" w:line="223" w:lineRule="auto"/>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5"/>
          <w:kern w:val="0"/>
          <w:sz w:val="22"/>
          <w:szCs w:val="22"/>
          <w:highlight w:val="none"/>
          <w:lang w:val="en-US" w:eastAsia="en-US" w:bidi="ar-SA"/>
          <w14:textOutline w14:w="4441" w14:cap="flat" w14:cmpd="sng">
            <w14:solidFill>
              <w14:srgbClr w14:val="000000"/>
            </w14:solidFill>
            <w14:prstDash w14:val="solid"/>
            <w14:miter w14:val="0"/>
          </w14:textOutline>
        </w:rPr>
        <w:t>第十条</w:t>
      </w:r>
      <w:r>
        <w:rPr>
          <w:rFonts w:ascii="宋体" w:hAnsi="宋体" w:eastAsia="宋体" w:cs="宋体"/>
          <w:snapToGrid w:val="0"/>
          <w:color w:val="000000"/>
          <w:spacing w:val="124"/>
          <w:kern w:val="0"/>
          <w:sz w:val="22"/>
          <w:szCs w:val="22"/>
          <w:highlight w:val="none"/>
          <w:lang w:val="en-US" w:eastAsia="en-US" w:bidi="ar-SA"/>
        </w:rPr>
        <w:t xml:space="preserve"> </w:t>
      </w:r>
      <w:r>
        <w:rPr>
          <w:rFonts w:ascii="宋体" w:hAnsi="宋体" w:eastAsia="宋体" w:cs="宋体"/>
          <w:snapToGrid w:val="0"/>
          <w:color w:val="000000"/>
          <w:spacing w:val="5"/>
          <w:kern w:val="0"/>
          <w:sz w:val="22"/>
          <w:szCs w:val="22"/>
          <w:highlight w:val="none"/>
          <w:lang w:val="en-US" w:eastAsia="en-US" w:bidi="ar-SA"/>
          <w14:textOutline w14:w="4441" w14:cap="flat" w14:cmpd="sng">
            <w14:solidFill>
              <w14:srgbClr w14:val="000000"/>
            </w14:solidFill>
            <w14:prstDash w14:val="solid"/>
            <w14:miter w14:val="0"/>
          </w14:textOutline>
        </w:rPr>
        <w:t>乙方的违约责任</w:t>
      </w:r>
    </w:p>
    <w:p>
      <w:pPr>
        <w:kinsoku w:val="0"/>
        <w:autoSpaceDE w:val="0"/>
        <w:autoSpaceDN w:val="0"/>
        <w:adjustRightInd w:val="0"/>
        <w:snapToGrid w:val="0"/>
        <w:spacing w:before="173" w:line="358" w:lineRule="auto"/>
        <w:ind w:left="39" w:right="58" w:firstLine="637"/>
        <w:jc w:val="both"/>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2"/>
          <w:kern w:val="0"/>
          <w:sz w:val="22"/>
          <w:szCs w:val="22"/>
          <w:highlight w:val="none"/>
          <w:lang w:val="en-US" w:eastAsia="en-US" w:bidi="ar-SA"/>
        </w:rPr>
        <w:t>1.乙方所交产品不符合合同规定的，如果甲方同意利用，应当按</w:t>
      </w:r>
      <w:r>
        <w:rPr>
          <w:rFonts w:ascii="宋体" w:hAnsi="宋体" w:eastAsia="宋体" w:cs="宋体"/>
          <w:snapToGrid w:val="0"/>
          <w:color w:val="000000"/>
          <w:spacing w:val="-3"/>
          <w:kern w:val="0"/>
          <w:sz w:val="22"/>
          <w:szCs w:val="22"/>
          <w:highlight w:val="none"/>
          <w:lang w:val="en-US" w:eastAsia="en-US" w:bidi="ar-SA"/>
        </w:rPr>
        <w:t>质论价；如果甲方不</w:t>
      </w:r>
      <w:r>
        <w:rPr>
          <w:rFonts w:ascii="宋体" w:hAnsi="宋体" w:eastAsia="宋体" w:cs="宋体"/>
          <w:snapToGrid w:val="0"/>
          <w:color w:val="000000"/>
          <w:kern w:val="0"/>
          <w:sz w:val="22"/>
          <w:szCs w:val="22"/>
          <w:highlight w:val="none"/>
          <w:lang w:val="en-US" w:eastAsia="en-US" w:bidi="ar-SA"/>
        </w:rPr>
        <w:t xml:space="preserve"> 同意利用的，</w:t>
      </w:r>
      <w:r>
        <w:rPr>
          <w:rFonts w:ascii="宋体" w:hAnsi="宋体" w:eastAsia="宋体" w:cs="宋体"/>
          <w:snapToGrid w:val="0"/>
          <w:color w:val="000000"/>
          <w:spacing w:val="-30"/>
          <w:kern w:val="0"/>
          <w:sz w:val="22"/>
          <w:szCs w:val="22"/>
          <w:highlight w:val="none"/>
          <w:lang w:val="en-US" w:eastAsia="en-US" w:bidi="ar-SA"/>
        </w:rPr>
        <w:t xml:space="preserve"> </w:t>
      </w:r>
      <w:r>
        <w:rPr>
          <w:rFonts w:ascii="宋体" w:hAnsi="宋体" w:eastAsia="宋体" w:cs="宋体"/>
          <w:snapToGrid w:val="0"/>
          <w:color w:val="000000"/>
          <w:kern w:val="0"/>
          <w:sz w:val="22"/>
          <w:szCs w:val="22"/>
          <w:highlight w:val="none"/>
          <w:lang w:val="en-US" w:eastAsia="en-US" w:bidi="ar-SA"/>
        </w:rPr>
        <w:t>应根据产品的具体情况，由乙方负责包换</w:t>
      </w:r>
      <w:r>
        <w:rPr>
          <w:rFonts w:ascii="宋体" w:hAnsi="宋体" w:eastAsia="宋体" w:cs="宋体"/>
          <w:snapToGrid w:val="0"/>
          <w:color w:val="000000"/>
          <w:spacing w:val="-1"/>
          <w:kern w:val="0"/>
          <w:sz w:val="22"/>
          <w:szCs w:val="22"/>
          <w:highlight w:val="none"/>
          <w:lang w:val="en-US" w:eastAsia="en-US" w:bidi="ar-SA"/>
        </w:rPr>
        <w:t>或包修，并承担修理、调换或退货</w:t>
      </w:r>
      <w:r>
        <w:rPr>
          <w:rFonts w:ascii="宋体" w:hAnsi="宋体" w:eastAsia="宋体" w:cs="宋体"/>
          <w:snapToGrid w:val="0"/>
          <w:color w:val="000000"/>
          <w:kern w:val="0"/>
          <w:sz w:val="22"/>
          <w:szCs w:val="22"/>
          <w:highlight w:val="none"/>
          <w:lang w:val="en-US" w:eastAsia="en-US" w:bidi="ar-SA"/>
        </w:rPr>
        <w:t xml:space="preserve"> </w:t>
      </w:r>
      <w:r>
        <w:rPr>
          <w:rFonts w:ascii="宋体" w:hAnsi="宋体" w:eastAsia="宋体" w:cs="宋体"/>
          <w:snapToGrid w:val="0"/>
          <w:color w:val="000000"/>
          <w:spacing w:val="-3"/>
          <w:kern w:val="0"/>
          <w:sz w:val="22"/>
          <w:szCs w:val="22"/>
          <w:highlight w:val="none"/>
          <w:lang w:val="en-US" w:eastAsia="en-US" w:bidi="ar-SA"/>
        </w:rPr>
        <w:t>而支付的实际费用,同时，乙方应按规定，对更换件相应延长质保期，并赔偿甲方相应的损失。乙方不能修理或者不能调换的，按不能交货处理。</w:t>
      </w:r>
    </w:p>
    <w:p>
      <w:pPr>
        <w:kinsoku w:val="0"/>
        <w:autoSpaceDE w:val="0"/>
        <w:autoSpaceDN w:val="0"/>
        <w:adjustRightInd w:val="0"/>
        <w:snapToGrid w:val="0"/>
        <w:spacing w:before="184" w:line="358" w:lineRule="auto"/>
        <w:ind w:left="38" w:firstLine="623"/>
        <w:jc w:val="both"/>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4"/>
          <w:kern w:val="0"/>
          <w:sz w:val="22"/>
          <w:szCs w:val="22"/>
          <w:highlight w:val="none"/>
          <w:lang w:val="en-US" w:eastAsia="en-US" w:bidi="ar-SA"/>
        </w:rPr>
        <w:t>2.乙方因产品包装不符合合同规定，必须返修或重新包装的，</w:t>
      </w:r>
      <w:r>
        <w:rPr>
          <w:rFonts w:ascii="宋体" w:hAnsi="宋体" w:eastAsia="宋体" w:cs="宋体"/>
          <w:snapToGrid w:val="0"/>
          <w:color w:val="000000"/>
          <w:spacing w:val="-36"/>
          <w:kern w:val="0"/>
          <w:sz w:val="22"/>
          <w:szCs w:val="22"/>
          <w:highlight w:val="none"/>
          <w:lang w:val="en-US" w:eastAsia="en-US" w:bidi="ar-SA"/>
        </w:rPr>
        <w:t xml:space="preserve"> </w:t>
      </w:r>
      <w:r>
        <w:rPr>
          <w:rFonts w:ascii="宋体" w:hAnsi="宋体" w:eastAsia="宋体" w:cs="宋体"/>
          <w:snapToGrid w:val="0"/>
          <w:color w:val="000000"/>
          <w:spacing w:val="-4"/>
          <w:kern w:val="0"/>
          <w:sz w:val="22"/>
          <w:szCs w:val="22"/>
          <w:highlight w:val="none"/>
          <w:lang w:val="en-US" w:eastAsia="en-US" w:bidi="ar-SA"/>
        </w:rPr>
        <w:t>乙方应负责返修或重包</w:t>
      </w:r>
      <w:r>
        <w:rPr>
          <w:rFonts w:ascii="宋体" w:hAnsi="宋体" w:eastAsia="宋体" w:cs="宋体"/>
          <w:snapToGrid w:val="0"/>
          <w:color w:val="000000"/>
          <w:kern w:val="0"/>
          <w:sz w:val="22"/>
          <w:szCs w:val="22"/>
          <w:highlight w:val="none"/>
          <w:lang w:val="en-US" w:eastAsia="en-US" w:bidi="ar-SA"/>
        </w:rPr>
        <w:t xml:space="preserve"> </w:t>
      </w:r>
      <w:r>
        <w:rPr>
          <w:rFonts w:ascii="宋体" w:hAnsi="宋体" w:eastAsia="宋体" w:cs="宋体"/>
          <w:snapToGrid w:val="0"/>
          <w:color w:val="000000"/>
          <w:spacing w:val="-1"/>
          <w:kern w:val="0"/>
          <w:sz w:val="22"/>
          <w:szCs w:val="22"/>
          <w:highlight w:val="none"/>
          <w:lang w:val="en-US" w:eastAsia="en-US" w:bidi="ar-SA"/>
        </w:rPr>
        <w:t>装， 并承担支付的费用。甲方不要求返修或重新包装而要求赔偿损失的，乙方应</w:t>
      </w:r>
      <w:r>
        <w:rPr>
          <w:rFonts w:ascii="宋体" w:hAnsi="宋体" w:eastAsia="宋体" w:cs="宋体"/>
          <w:snapToGrid w:val="0"/>
          <w:color w:val="000000"/>
          <w:spacing w:val="-2"/>
          <w:kern w:val="0"/>
          <w:sz w:val="22"/>
          <w:szCs w:val="22"/>
          <w:highlight w:val="none"/>
          <w:lang w:val="en-US" w:eastAsia="en-US" w:bidi="ar-SA"/>
        </w:rPr>
        <w:t>当偿付甲</w:t>
      </w:r>
      <w:r>
        <w:rPr>
          <w:rFonts w:ascii="宋体" w:hAnsi="宋体" w:eastAsia="宋体" w:cs="宋体"/>
          <w:snapToGrid w:val="0"/>
          <w:color w:val="000000"/>
          <w:kern w:val="0"/>
          <w:sz w:val="22"/>
          <w:szCs w:val="22"/>
          <w:highlight w:val="none"/>
          <w:lang w:val="en-US" w:eastAsia="en-US" w:bidi="ar-SA"/>
        </w:rPr>
        <w:t xml:space="preserve"> </w:t>
      </w:r>
      <w:r>
        <w:rPr>
          <w:rFonts w:ascii="宋体" w:hAnsi="宋体" w:eastAsia="宋体" w:cs="宋体"/>
          <w:snapToGrid w:val="0"/>
          <w:color w:val="000000"/>
          <w:spacing w:val="-3"/>
          <w:kern w:val="0"/>
          <w:sz w:val="22"/>
          <w:szCs w:val="22"/>
          <w:highlight w:val="none"/>
          <w:lang w:val="en-US" w:eastAsia="en-US" w:bidi="ar-SA"/>
        </w:rPr>
        <w:t>方该不合格包装物低于合格包装物的价值部分。因包装不符合规定造成货物损坏或灭失的，</w:t>
      </w:r>
      <w:r>
        <w:rPr>
          <w:rFonts w:ascii="宋体" w:hAnsi="宋体" w:eastAsia="宋体" w:cs="宋体"/>
          <w:snapToGrid w:val="0"/>
          <w:color w:val="000000"/>
          <w:spacing w:val="14"/>
          <w:kern w:val="0"/>
          <w:sz w:val="22"/>
          <w:szCs w:val="22"/>
          <w:highlight w:val="none"/>
          <w:lang w:val="en-US" w:eastAsia="en-US" w:bidi="ar-SA"/>
        </w:rPr>
        <w:t xml:space="preserve"> </w:t>
      </w:r>
      <w:r>
        <w:rPr>
          <w:rFonts w:ascii="宋体" w:hAnsi="宋体" w:eastAsia="宋体" w:cs="宋体"/>
          <w:snapToGrid w:val="0"/>
          <w:color w:val="000000"/>
          <w:spacing w:val="2"/>
          <w:kern w:val="0"/>
          <w:sz w:val="22"/>
          <w:szCs w:val="22"/>
          <w:highlight w:val="none"/>
          <w:lang w:val="en-US" w:eastAsia="en-US" w:bidi="ar-SA"/>
        </w:rPr>
        <w:t>乙方应当负责赔偿。每件货物包装箱内应附一份详细装</w:t>
      </w:r>
      <w:r>
        <w:rPr>
          <w:rFonts w:ascii="宋体" w:hAnsi="宋体" w:eastAsia="宋体" w:cs="宋体"/>
          <w:snapToGrid w:val="0"/>
          <w:color w:val="000000"/>
          <w:spacing w:val="1"/>
          <w:kern w:val="0"/>
          <w:sz w:val="22"/>
          <w:szCs w:val="22"/>
          <w:highlight w:val="none"/>
          <w:lang w:val="en-US" w:eastAsia="en-US" w:bidi="ar-SA"/>
        </w:rPr>
        <w:t>箱单和质量证书。为进口件的，应</w:t>
      </w:r>
      <w:r>
        <w:rPr>
          <w:rFonts w:ascii="宋体" w:hAnsi="宋体" w:eastAsia="宋体" w:cs="宋体"/>
          <w:snapToGrid w:val="0"/>
          <w:color w:val="000000"/>
          <w:kern w:val="0"/>
          <w:sz w:val="22"/>
          <w:szCs w:val="22"/>
          <w:highlight w:val="none"/>
          <w:lang w:val="en-US" w:eastAsia="en-US" w:bidi="ar-SA"/>
        </w:rPr>
        <w:t>出具报关手续和原产地、原产工厂证明、报关手续和商检证明等。</w:t>
      </w:r>
    </w:p>
    <w:p>
      <w:pPr>
        <w:kinsoku w:val="0"/>
        <w:autoSpaceDE w:val="0"/>
        <w:autoSpaceDN w:val="0"/>
        <w:adjustRightInd w:val="0"/>
        <w:snapToGrid w:val="0"/>
        <w:spacing w:before="184" w:line="358" w:lineRule="auto"/>
        <w:ind w:left="38" w:firstLine="623"/>
        <w:jc w:val="both"/>
        <w:textAlignment w:val="baseline"/>
        <w:rPr>
          <w:rFonts w:ascii="宋体" w:hAnsi="宋体" w:eastAsia="宋体" w:cs="宋体"/>
          <w:snapToGrid w:val="0"/>
          <w:color w:val="000000"/>
          <w:spacing w:val="-1"/>
          <w:kern w:val="0"/>
          <w:sz w:val="22"/>
          <w:szCs w:val="22"/>
          <w:highlight w:val="none"/>
          <w:lang w:val="en-US" w:eastAsia="en-US" w:bidi="ar-SA"/>
        </w:rPr>
      </w:pPr>
      <w:r>
        <w:rPr>
          <w:rFonts w:ascii="宋体" w:hAnsi="宋体" w:eastAsia="宋体" w:cs="宋体"/>
          <w:snapToGrid w:val="0"/>
          <w:color w:val="000000"/>
          <w:spacing w:val="-1"/>
          <w:kern w:val="0"/>
          <w:sz w:val="22"/>
          <w:szCs w:val="22"/>
          <w:highlight w:val="none"/>
          <w:lang w:val="en-US" w:eastAsia="en-US" w:bidi="ar-SA"/>
        </w:rPr>
        <w:t>3.乙方提前交货的产品、多交的产品和不符合合同规定的产品，甲方在代保管期内实际支付的保管、保养等费用以及非因甲方保管不善而发生的损失， 应当由乙方承担。</w:t>
      </w:r>
    </w:p>
    <w:p>
      <w:pPr>
        <w:keepNext w:val="0"/>
        <w:keepLines w:val="0"/>
        <w:pageBreakBefore w:val="0"/>
        <w:widowControl/>
        <w:kinsoku w:val="0"/>
        <w:wordWrap/>
        <w:overflowPunct/>
        <w:topLinePunct w:val="0"/>
        <w:autoSpaceDE w:val="0"/>
        <w:autoSpaceDN w:val="0"/>
        <w:bidi w:val="0"/>
        <w:adjustRightInd w:val="0"/>
        <w:snapToGrid w:val="0"/>
        <w:spacing w:before="100" w:line="358" w:lineRule="auto"/>
        <w:ind w:left="38" w:firstLine="623"/>
        <w:jc w:val="both"/>
        <w:textAlignment w:val="baseline"/>
        <w:rPr>
          <w:rFonts w:ascii="宋体" w:hAnsi="宋体" w:eastAsia="宋体" w:cs="宋体"/>
          <w:snapToGrid w:val="0"/>
          <w:color w:val="000000"/>
          <w:spacing w:val="-1"/>
          <w:kern w:val="0"/>
          <w:sz w:val="22"/>
          <w:szCs w:val="22"/>
          <w:highlight w:val="none"/>
          <w:lang w:val="en-US" w:eastAsia="en-US" w:bidi="ar-SA"/>
        </w:rPr>
      </w:pPr>
      <w:r>
        <w:rPr>
          <w:rFonts w:ascii="宋体" w:hAnsi="宋体" w:eastAsia="宋体" w:cs="宋体"/>
          <w:snapToGrid w:val="0"/>
          <w:color w:val="000000"/>
          <w:spacing w:val="-1"/>
          <w:kern w:val="0"/>
          <w:sz w:val="22"/>
          <w:szCs w:val="22"/>
          <w:highlight w:val="none"/>
          <w:lang w:val="en-US" w:eastAsia="en-US" w:bidi="ar-SA"/>
        </w:rPr>
        <w:t>4.乙方应对其所提供的货物承担所有权担保责任，并应保证甲方在中华人民共和国内使用该货物时不侵犯第三人的知识产权。否则乙方应承担由此引起的一切法律责任及费用。</w:t>
      </w:r>
    </w:p>
    <w:p>
      <w:pPr>
        <w:keepNext w:val="0"/>
        <w:keepLines w:val="0"/>
        <w:pageBreakBefore w:val="0"/>
        <w:widowControl/>
        <w:kinsoku w:val="0"/>
        <w:wordWrap/>
        <w:overflowPunct/>
        <w:topLinePunct w:val="0"/>
        <w:autoSpaceDE w:val="0"/>
        <w:autoSpaceDN w:val="0"/>
        <w:bidi w:val="0"/>
        <w:adjustRightInd w:val="0"/>
        <w:snapToGrid w:val="0"/>
        <w:spacing w:before="100" w:line="358" w:lineRule="auto"/>
        <w:ind w:left="38" w:firstLine="623"/>
        <w:jc w:val="both"/>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3"/>
          <w:kern w:val="0"/>
          <w:sz w:val="22"/>
          <w:szCs w:val="22"/>
          <w:highlight w:val="none"/>
          <w:lang w:val="en-US" w:eastAsia="en-US" w:bidi="ar-SA"/>
        </w:rPr>
        <w:t>5.履约期内，禁止乙方在未收到采购订单的情况下直接向使用单</w:t>
      </w:r>
      <w:r>
        <w:rPr>
          <w:rFonts w:ascii="宋体" w:hAnsi="宋体" w:eastAsia="宋体" w:cs="宋体"/>
          <w:snapToGrid w:val="0"/>
          <w:color w:val="000000"/>
          <w:spacing w:val="-4"/>
          <w:kern w:val="0"/>
          <w:sz w:val="22"/>
          <w:szCs w:val="22"/>
          <w:highlight w:val="none"/>
          <w:lang w:val="en-US" w:eastAsia="en-US" w:bidi="ar-SA"/>
        </w:rPr>
        <w:t>位进行供货，一经发</w:t>
      </w:r>
      <w:r>
        <w:rPr>
          <w:rFonts w:ascii="宋体" w:hAnsi="宋体" w:eastAsia="宋体" w:cs="宋体"/>
          <w:snapToGrid w:val="0"/>
          <w:color w:val="000000"/>
          <w:spacing w:val="2"/>
          <w:kern w:val="0"/>
          <w:sz w:val="22"/>
          <w:szCs w:val="22"/>
          <w:highlight w:val="none"/>
          <w:lang w:val="en-US" w:eastAsia="en-US" w:bidi="ar-SA"/>
        </w:rPr>
        <w:t>现，扣除 10%履约保证金作为违约金，同时乙方须负责安排退换货</w:t>
      </w:r>
      <w:r>
        <w:rPr>
          <w:rFonts w:ascii="宋体" w:hAnsi="宋体" w:eastAsia="宋体" w:cs="宋体"/>
          <w:snapToGrid w:val="0"/>
          <w:color w:val="000000"/>
          <w:spacing w:val="1"/>
          <w:kern w:val="0"/>
          <w:sz w:val="22"/>
          <w:szCs w:val="22"/>
          <w:highlight w:val="none"/>
          <w:lang w:val="en-US" w:eastAsia="en-US" w:bidi="ar-SA"/>
        </w:rPr>
        <w:t>，并承担由此造成的一</w:t>
      </w:r>
      <w:r>
        <w:rPr>
          <w:rFonts w:ascii="宋体" w:hAnsi="宋体" w:eastAsia="宋体" w:cs="宋体"/>
          <w:snapToGrid w:val="0"/>
          <w:color w:val="000000"/>
          <w:spacing w:val="-5"/>
          <w:kern w:val="0"/>
          <w:sz w:val="22"/>
          <w:szCs w:val="22"/>
          <w:highlight w:val="none"/>
          <w:lang w:val="en-US" w:eastAsia="en-US" w:bidi="ar-SA"/>
        </w:rPr>
        <w:t>切损失。</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648" w:firstLineChars="300"/>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2"/>
          <w:kern w:val="0"/>
          <w:sz w:val="22"/>
          <w:szCs w:val="22"/>
          <w:highlight w:val="none"/>
          <w:lang w:val="en-US" w:eastAsia="en-US" w:bidi="ar-SA"/>
        </w:rPr>
        <w:t>6.若乙方无正当理由（如政府发文停产、限产等不可抗力因素，如无针对乙方的发文</w:t>
      </w:r>
      <w:r>
        <w:rPr>
          <w:rFonts w:ascii="宋体" w:hAnsi="宋体" w:eastAsia="宋体" w:cs="宋体"/>
          <w:snapToGrid w:val="0"/>
          <w:color w:val="000000"/>
          <w:spacing w:val="6"/>
          <w:kern w:val="0"/>
          <w:sz w:val="22"/>
          <w:szCs w:val="22"/>
          <w:highlight w:val="none"/>
          <w:lang w:val="en-US" w:eastAsia="en-US" w:bidi="ar-SA"/>
        </w:rPr>
        <w:t xml:space="preserve"> </w:t>
      </w:r>
      <w:r>
        <w:rPr>
          <w:rFonts w:ascii="宋体" w:hAnsi="宋体" w:eastAsia="宋体" w:cs="宋体"/>
          <w:snapToGrid w:val="0"/>
          <w:color w:val="000000"/>
          <w:kern w:val="0"/>
          <w:sz w:val="22"/>
          <w:szCs w:val="22"/>
          <w:highlight w:val="none"/>
          <w:lang w:val="en-US" w:eastAsia="en-US" w:bidi="ar-SA"/>
        </w:rPr>
        <w:t>则不予认可）</w:t>
      </w:r>
      <w:r>
        <w:rPr>
          <w:rFonts w:ascii="宋体" w:hAnsi="宋体" w:eastAsia="宋体" w:cs="宋体"/>
          <w:snapToGrid w:val="0"/>
          <w:color w:val="000000"/>
          <w:spacing w:val="-51"/>
          <w:kern w:val="0"/>
          <w:sz w:val="22"/>
          <w:szCs w:val="22"/>
          <w:highlight w:val="none"/>
          <w:lang w:val="en-US" w:eastAsia="en-US" w:bidi="ar-SA"/>
        </w:rPr>
        <w:t xml:space="preserve"> </w:t>
      </w:r>
      <w:r>
        <w:rPr>
          <w:rFonts w:ascii="宋体" w:hAnsi="宋体" w:eastAsia="宋体" w:cs="宋体"/>
          <w:snapToGrid w:val="0"/>
          <w:color w:val="000000"/>
          <w:kern w:val="0"/>
          <w:sz w:val="22"/>
          <w:szCs w:val="22"/>
          <w:highlight w:val="none"/>
          <w:lang w:val="en-US" w:eastAsia="en-US" w:bidi="ar-SA"/>
        </w:rPr>
        <w:t>拒绝执行招标文件规定、</w:t>
      </w:r>
      <w:r>
        <w:rPr>
          <w:rFonts w:hint="eastAsia" w:ascii="宋体" w:hAnsi="宋体" w:eastAsia="宋体" w:cs="宋体"/>
          <w:snapToGrid w:val="0"/>
          <w:color w:val="000000"/>
          <w:kern w:val="0"/>
          <w:sz w:val="22"/>
          <w:szCs w:val="22"/>
          <w:highlight w:val="none"/>
          <w:lang w:val="en-US" w:eastAsia="zh-CN" w:bidi="ar-SA"/>
        </w:rPr>
        <w:t>响应</w:t>
      </w:r>
      <w:r>
        <w:rPr>
          <w:rFonts w:ascii="宋体" w:hAnsi="宋体" w:eastAsia="宋体" w:cs="宋体"/>
          <w:snapToGrid w:val="0"/>
          <w:color w:val="000000"/>
          <w:kern w:val="0"/>
          <w:sz w:val="22"/>
          <w:szCs w:val="22"/>
          <w:highlight w:val="none"/>
          <w:lang w:val="en-US" w:eastAsia="en-US" w:bidi="ar-SA"/>
        </w:rPr>
        <w:t>文件承诺和响应或拒绝供货，</w:t>
      </w:r>
      <w:r>
        <w:rPr>
          <w:rFonts w:hint="eastAsia" w:ascii="宋体" w:hAnsi="宋体" w:eastAsia="宋体" w:cs="宋体"/>
          <w:snapToGrid w:val="0"/>
          <w:color w:val="000000"/>
          <w:kern w:val="0"/>
          <w:sz w:val="22"/>
          <w:szCs w:val="22"/>
          <w:highlight w:val="none"/>
          <w:lang w:val="en-US" w:eastAsia="en-US" w:bidi="ar-SA"/>
        </w:rPr>
        <w:t>扣除 10%履约保证金作为违约金</w:t>
      </w:r>
      <w:r>
        <w:rPr>
          <w:rFonts w:ascii="宋体" w:hAnsi="宋体" w:eastAsia="宋体" w:cs="宋体"/>
          <w:snapToGrid w:val="0"/>
          <w:color w:val="000000"/>
          <w:kern w:val="0"/>
          <w:sz w:val="22"/>
          <w:szCs w:val="22"/>
          <w:highlight w:val="none"/>
          <w:lang w:val="en-US" w:eastAsia="en-US" w:bidi="ar-SA"/>
        </w:rPr>
        <w:t>。</w:t>
      </w:r>
    </w:p>
    <w:p>
      <w:pPr>
        <w:keepNext w:val="0"/>
        <w:keepLines w:val="0"/>
        <w:pageBreakBefore w:val="0"/>
        <w:widowControl/>
        <w:kinsoku w:val="0"/>
        <w:wordWrap/>
        <w:overflowPunct/>
        <w:topLinePunct w:val="0"/>
        <w:autoSpaceDE w:val="0"/>
        <w:autoSpaceDN w:val="0"/>
        <w:bidi w:val="0"/>
        <w:adjustRightInd w:val="0"/>
        <w:snapToGrid w:val="0"/>
        <w:spacing w:before="1" w:line="400" w:lineRule="exact"/>
        <w:ind w:left="44" w:firstLine="524" w:firstLineChars="200"/>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21"/>
          <w:kern w:val="0"/>
          <w:sz w:val="22"/>
          <w:szCs w:val="22"/>
          <w:highlight w:val="none"/>
          <w:lang w:val="en-US" w:eastAsia="en-US" w:bidi="ar-SA"/>
        </w:rPr>
        <w:t>7.</w:t>
      </w:r>
      <w:r>
        <w:rPr>
          <w:rFonts w:ascii="宋体" w:hAnsi="宋体" w:eastAsia="宋体" w:cs="宋体"/>
          <w:snapToGrid w:val="0"/>
          <w:color w:val="000000"/>
          <w:spacing w:val="-65"/>
          <w:kern w:val="0"/>
          <w:sz w:val="22"/>
          <w:szCs w:val="22"/>
          <w:highlight w:val="none"/>
          <w:lang w:val="en-US" w:eastAsia="en-US" w:bidi="ar-SA"/>
        </w:rPr>
        <w:t xml:space="preserve"> </w:t>
      </w:r>
      <w:r>
        <w:rPr>
          <w:rFonts w:ascii="宋体" w:hAnsi="宋体" w:eastAsia="宋体" w:cs="宋体"/>
          <w:snapToGrid w:val="0"/>
          <w:color w:val="000000"/>
          <w:spacing w:val="21"/>
          <w:kern w:val="0"/>
          <w:sz w:val="22"/>
          <w:szCs w:val="22"/>
          <w:highlight w:val="none"/>
          <w:lang w:val="en-US" w:eastAsia="en-US" w:bidi="ar-SA"/>
        </w:rPr>
        <w:t>未尽事宜执行</w:t>
      </w:r>
      <w:r>
        <w:rPr>
          <w:rFonts w:hint="eastAsia" w:ascii="宋体" w:hAnsi="宋体" w:eastAsia="宋体" w:cs="宋体"/>
          <w:snapToGrid w:val="0"/>
          <w:color w:val="000000"/>
          <w:spacing w:val="21"/>
          <w:kern w:val="0"/>
          <w:sz w:val="22"/>
          <w:szCs w:val="22"/>
          <w:highlight w:val="none"/>
          <w:u w:val="single" w:color="auto"/>
          <w:lang w:val="en-US" w:eastAsia="en-US" w:bidi="ar-SA"/>
        </w:rPr>
        <w:t>安徽交运集团安庆望江车辆磷酸铁锂动力电池更换项目</w:t>
      </w:r>
      <w:r>
        <w:rPr>
          <w:rFonts w:ascii="宋体" w:hAnsi="宋体" w:eastAsia="宋体" w:cs="宋体"/>
          <w:snapToGrid w:val="0"/>
          <w:color w:val="000000"/>
          <w:spacing w:val="-2"/>
          <w:kern w:val="0"/>
          <w:sz w:val="22"/>
          <w:szCs w:val="22"/>
          <w:highlight w:val="none"/>
          <w:lang w:val="en-US" w:eastAsia="en-US" w:bidi="ar-SA"/>
        </w:rPr>
        <w:t>招标文件的相应规定。</w:t>
      </w:r>
    </w:p>
    <w:p>
      <w:pPr>
        <w:kinsoku w:val="0"/>
        <w:autoSpaceDE w:val="0"/>
        <w:autoSpaceDN w:val="0"/>
        <w:adjustRightInd w:val="0"/>
        <w:snapToGrid w:val="0"/>
        <w:spacing w:before="171" w:line="223" w:lineRule="auto"/>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3"/>
          <w:kern w:val="0"/>
          <w:sz w:val="22"/>
          <w:szCs w:val="22"/>
          <w:highlight w:val="none"/>
          <w:lang w:val="en-US" w:eastAsia="en-US" w:bidi="ar-SA"/>
          <w14:textOutline w14:w="4441" w14:cap="flat" w14:cmpd="sng">
            <w14:solidFill>
              <w14:srgbClr w14:val="000000"/>
            </w14:solidFill>
            <w14:prstDash w14:val="solid"/>
            <w14:miter w14:val="0"/>
          </w14:textOutline>
        </w:rPr>
        <w:t>第十一条</w:t>
      </w:r>
      <w:r>
        <w:rPr>
          <w:rFonts w:ascii="宋体" w:hAnsi="宋体" w:eastAsia="宋体" w:cs="宋体"/>
          <w:snapToGrid w:val="0"/>
          <w:color w:val="000000"/>
          <w:spacing w:val="3"/>
          <w:kern w:val="0"/>
          <w:sz w:val="22"/>
          <w:szCs w:val="22"/>
          <w:highlight w:val="none"/>
          <w:lang w:val="en-US" w:eastAsia="en-US" w:bidi="ar-SA"/>
        </w:rPr>
        <w:t xml:space="preserve">   </w:t>
      </w:r>
      <w:r>
        <w:rPr>
          <w:rFonts w:ascii="宋体" w:hAnsi="宋体" w:eastAsia="宋体" w:cs="宋体"/>
          <w:snapToGrid w:val="0"/>
          <w:color w:val="000000"/>
          <w:spacing w:val="3"/>
          <w:kern w:val="0"/>
          <w:sz w:val="22"/>
          <w:szCs w:val="22"/>
          <w:highlight w:val="none"/>
          <w:lang w:val="en-US" w:eastAsia="en-US" w:bidi="ar-SA"/>
          <w14:textOutline w14:w="4441" w14:cap="flat" w14:cmpd="sng">
            <w14:solidFill>
              <w14:srgbClr w14:val="000000"/>
            </w14:solidFill>
            <w14:prstDash w14:val="solid"/>
            <w14:miter w14:val="0"/>
          </w14:textOutline>
        </w:rPr>
        <w:t>甲方的违约责任</w:t>
      </w:r>
    </w:p>
    <w:p>
      <w:pPr>
        <w:keepNext w:val="0"/>
        <w:keepLines w:val="0"/>
        <w:pageBreakBefore w:val="0"/>
        <w:widowControl/>
        <w:kinsoku w:val="0"/>
        <w:wordWrap/>
        <w:overflowPunct/>
        <w:topLinePunct w:val="0"/>
        <w:autoSpaceDE w:val="0"/>
        <w:autoSpaceDN w:val="0"/>
        <w:bidi w:val="0"/>
        <w:adjustRightInd w:val="0"/>
        <w:snapToGrid w:val="0"/>
        <w:spacing w:before="180" w:line="400" w:lineRule="exact"/>
        <w:ind w:left="57" w:firstLine="424" w:firstLineChars="200"/>
        <w:jc w:val="left"/>
        <w:textAlignment w:val="baseline"/>
        <w:rPr>
          <w:rFonts w:hint="default" w:ascii="宋体" w:hAnsi="宋体" w:eastAsia="宋体" w:cs="宋体"/>
          <w:snapToGrid w:val="0"/>
          <w:color w:val="000000"/>
          <w:kern w:val="0"/>
          <w:sz w:val="22"/>
          <w:szCs w:val="22"/>
          <w:highlight w:val="none"/>
          <w:lang w:val="en-US" w:eastAsia="zh-CN" w:bidi="ar-SA"/>
        </w:rPr>
      </w:pPr>
      <w:r>
        <w:rPr>
          <w:rFonts w:hint="eastAsia" w:ascii="宋体" w:hAnsi="宋体" w:eastAsia="宋体" w:cs="宋体"/>
          <w:snapToGrid w:val="0"/>
          <w:color w:val="000000"/>
          <w:spacing w:val="-4"/>
          <w:kern w:val="0"/>
          <w:position w:val="16"/>
          <w:sz w:val="22"/>
          <w:szCs w:val="22"/>
          <w:highlight w:val="none"/>
          <w:lang w:val="en-US" w:eastAsia="zh-CN" w:bidi="ar-SA"/>
        </w:rPr>
        <w:t>由甲乙双方进行协商。</w:t>
      </w:r>
    </w:p>
    <w:p>
      <w:pPr>
        <w:kinsoku w:val="0"/>
        <w:autoSpaceDE w:val="0"/>
        <w:autoSpaceDN w:val="0"/>
        <w:adjustRightInd w:val="0"/>
        <w:snapToGrid w:val="0"/>
        <w:spacing w:before="167" w:line="223" w:lineRule="auto"/>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5"/>
          <w:kern w:val="0"/>
          <w:sz w:val="22"/>
          <w:szCs w:val="22"/>
          <w:highlight w:val="none"/>
          <w:lang w:val="en-US" w:eastAsia="en-US" w:bidi="ar-SA"/>
          <w14:textOutline w14:w="4441" w14:cap="flat" w14:cmpd="sng">
            <w14:solidFill>
              <w14:srgbClr w14:val="000000"/>
            </w14:solidFill>
            <w14:prstDash w14:val="solid"/>
            <w14:miter w14:val="0"/>
          </w14:textOutline>
        </w:rPr>
        <w:t>第十二条</w:t>
      </w:r>
      <w:r>
        <w:rPr>
          <w:rFonts w:ascii="宋体" w:hAnsi="宋体" w:eastAsia="宋体" w:cs="宋体"/>
          <w:snapToGrid w:val="0"/>
          <w:color w:val="000000"/>
          <w:spacing w:val="62"/>
          <w:kern w:val="0"/>
          <w:sz w:val="22"/>
          <w:szCs w:val="22"/>
          <w:highlight w:val="none"/>
          <w:lang w:val="en-US" w:eastAsia="en-US" w:bidi="ar-SA"/>
        </w:rPr>
        <w:t xml:space="preserve">  </w:t>
      </w:r>
      <w:r>
        <w:rPr>
          <w:rFonts w:ascii="宋体" w:hAnsi="宋体" w:eastAsia="宋体" w:cs="宋体"/>
          <w:snapToGrid w:val="0"/>
          <w:color w:val="000000"/>
          <w:spacing w:val="5"/>
          <w:kern w:val="0"/>
          <w:sz w:val="22"/>
          <w:szCs w:val="22"/>
          <w:highlight w:val="none"/>
          <w:lang w:val="en-US" w:eastAsia="en-US" w:bidi="ar-SA"/>
          <w14:textOutline w14:w="4441" w14:cap="flat" w14:cmpd="sng">
            <w14:solidFill>
              <w14:srgbClr w14:val="000000"/>
            </w14:solidFill>
            <w14:prstDash w14:val="solid"/>
            <w14:miter w14:val="0"/>
          </w14:textOutline>
        </w:rPr>
        <w:t>不可抗力</w:t>
      </w:r>
    </w:p>
    <w:p>
      <w:pPr>
        <w:kinsoku w:val="0"/>
        <w:autoSpaceDE w:val="0"/>
        <w:autoSpaceDN w:val="0"/>
        <w:adjustRightInd w:val="0"/>
        <w:snapToGrid w:val="0"/>
        <w:spacing w:before="187" w:line="358" w:lineRule="auto"/>
        <w:ind w:left="38" w:right="76" w:firstLine="638"/>
        <w:jc w:val="both"/>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2"/>
          <w:kern w:val="0"/>
          <w:sz w:val="22"/>
          <w:szCs w:val="22"/>
          <w:highlight w:val="none"/>
          <w:lang w:val="en-US" w:eastAsia="en-US" w:bidi="ar-SA"/>
        </w:rPr>
        <w:t>1.如果双方任何一方由于受诸如战争、严重火灾、洪水、台风、地震、</w:t>
      </w:r>
      <w:r>
        <w:rPr>
          <w:rFonts w:ascii="宋体" w:hAnsi="宋体" w:eastAsia="宋体" w:cs="宋体"/>
          <w:snapToGrid w:val="0"/>
          <w:color w:val="000000"/>
          <w:spacing w:val="-3"/>
          <w:kern w:val="0"/>
          <w:sz w:val="22"/>
          <w:szCs w:val="22"/>
          <w:highlight w:val="none"/>
          <w:lang w:val="en-US" w:eastAsia="en-US" w:bidi="ar-SA"/>
        </w:rPr>
        <w:t>政府指令等不</w:t>
      </w:r>
      <w:r>
        <w:rPr>
          <w:rFonts w:ascii="宋体" w:hAnsi="宋体" w:eastAsia="宋体" w:cs="宋体"/>
          <w:snapToGrid w:val="0"/>
          <w:color w:val="000000"/>
          <w:kern w:val="0"/>
          <w:sz w:val="22"/>
          <w:szCs w:val="22"/>
          <w:highlight w:val="none"/>
          <w:lang w:val="en-US" w:eastAsia="en-US" w:bidi="ar-SA"/>
        </w:rPr>
        <w:t xml:space="preserve"> </w:t>
      </w:r>
      <w:r>
        <w:rPr>
          <w:rFonts w:ascii="宋体" w:hAnsi="宋体" w:eastAsia="宋体" w:cs="宋体"/>
          <w:snapToGrid w:val="0"/>
          <w:color w:val="000000"/>
          <w:spacing w:val="2"/>
          <w:kern w:val="0"/>
          <w:sz w:val="22"/>
          <w:szCs w:val="22"/>
          <w:highlight w:val="none"/>
          <w:lang w:val="en-US" w:eastAsia="en-US" w:bidi="ar-SA"/>
        </w:rPr>
        <w:t>可抗力的事故，致使影响合同履行时，履行合同的期限应予以延长，延长的期限应相</w:t>
      </w:r>
      <w:r>
        <w:rPr>
          <w:rFonts w:ascii="宋体" w:hAnsi="宋体" w:eastAsia="宋体" w:cs="宋体"/>
          <w:snapToGrid w:val="0"/>
          <w:color w:val="000000"/>
          <w:spacing w:val="1"/>
          <w:kern w:val="0"/>
          <w:sz w:val="22"/>
          <w:szCs w:val="22"/>
          <w:highlight w:val="none"/>
          <w:lang w:val="en-US" w:eastAsia="en-US" w:bidi="ar-SA"/>
        </w:rPr>
        <w:t>当于</w:t>
      </w:r>
      <w:r>
        <w:rPr>
          <w:rFonts w:ascii="宋体" w:hAnsi="宋体" w:eastAsia="宋体" w:cs="宋体"/>
          <w:snapToGrid w:val="0"/>
          <w:color w:val="000000"/>
          <w:kern w:val="0"/>
          <w:sz w:val="22"/>
          <w:szCs w:val="22"/>
          <w:highlight w:val="none"/>
          <w:lang w:val="en-US" w:eastAsia="en-US" w:bidi="ar-SA"/>
        </w:rPr>
        <w:t xml:space="preserve"> </w:t>
      </w:r>
      <w:r>
        <w:rPr>
          <w:rFonts w:ascii="宋体" w:hAnsi="宋体" w:eastAsia="宋体" w:cs="宋体"/>
          <w:snapToGrid w:val="0"/>
          <w:color w:val="000000"/>
          <w:spacing w:val="2"/>
          <w:kern w:val="0"/>
          <w:sz w:val="22"/>
          <w:szCs w:val="22"/>
          <w:highlight w:val="none"/>
          <w:lang w:val="en-US" w:eastAsia="en-US" w:bidi="ar-SA"/>
        </w:rPr>
        <w:t>事故所影响的时间。不可抗力事故系指买卖双方在缔结合同时所不能预见的，并且它</w:t>
      </w:r>
      <w:r>
        <w:rPr>
          <w:rFonts w:ascii="宋体" w:hAnsi="宋体" w:eastAsia="宋体" w:cs="宋体"/>
          <w:snapToGrid w:val="0"/>
          <w:color w:val="000000"/>
          <w:spacing w:val="1"/>
          <w:kern w:val="0"/>
          <w:sz w:val="22"/>
          <w:szCs w:val="22"/>
          <w:highlight w:val="none"/>
          <w:lang w:val="en-US" w:eastAsia="en-US" w:bidi="ar-SA"/>
        </w:rPr>
        <w:t>的发生及其后果是无法避免和无法克服的事故。</w:t>
      </w:r>
    </w:p>
    <w:p>
      <w:pPr>
        <w:kinsoku w:val="0"/>
        <w:autoSpaceDE w:val="0"/>
        <w:autoSpaceDN w:val="0"/>
        <w:adjustRightInd w:val="0"/>
        <w:snapToGrid w:val="0"/>
        <w:spacing w:before="185" w:line="355" w:lineRule="auto"/>
        <w:ind w:left="42" w:right="77" w:firstLine="619"/>
        <w:jc w:val="both"/>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2"/>
          <w:kern w:val="0"/>
          <w:sz w:val="22"/>
          <w:szCs w:val="22"/>
          <w:highlight w:val="none"/>
          <w:lang w:val="en-US" w:eastAsia="en-US" w:bidi="ar-SA"/>
        </w:rPr>
        <w:t>2.甲乙双方的任何一方由于不可抗力的原因不能履行合同时，应及时向对方通报不能</w:t>
      </w:r>
      <w:r>
        <w:rPr>
          <w:rFonts w:ascii="宋体" w:hAnsi="宋体" w:eastAsia="宋体" w:cs="宋体"/>
          <w:snapToGrid w:val="0"/>
          <w:color w:val="000000"/>
          <w:spacing w:val="8"/>
          <w:kern w:val="0"/>
          <w:sz w:val="22"/>
          <w:szCs w:val="22"/>
          <w:highlight w:val="none"/>
          <w:lang w:val="en-US" w:eastAsia="en-US" w:bidi="ar-SA"/>
        </w:rPr>
        <w:t xml:space="preserve"> </w:t>
      </w:r>
      <w:r>
        <w:rPr>
          <w:rFonts w:ascii="宋体" w:hAnsi="宋体" w:eastAsia="宋体" w:cs="宋体"/>
          <w:snapToGrid w:val="0"/>
          <w:color w:val="000000"/>
          <w:spacing w:val="-1"/>
          <w:kern w:val="0"/>
          <w:sz w:val="22"/>
          <w:szCs w:val="22"/>
          <w:highlight w:val="none"/>
          <w:lang w:val="en-US" w:eastAsia="en-US" w:bidi="ar-SA"/>
        </w:rPr>
        <w:t>履行或不能完全履行的理由，在取得有关主管机关证明以后，</w:t>
      </w:r>
      <w:r>
        <w:rPr>
          <w:rFonts w:ascii="宋体" w:hAnsi="宋体" w:eastAsia="宋体" w:cs="宋体"/>
          <w:snapToGrid w:val="0"/>
          <w:color w:val="000000"/>
          <w:spacing w:val="-9"/>
          <w:kern w:val="0"/>
          <w:sz w:val="22"/>
          <w:szCs w:val="22"/>
          <w:highlight w:val="none"/>
          <w:lang w:val="en-US" w:eastAsia="en-US" w:bidi="ar-SA"/>
        </w:rPr>
        <w:t xml:space="preserve"> </w:t>
      </w:r>
      <w:r>
        <w:rPr>
          <w:rFonts w:ascii="宋体" w:hAnsi="宋体" w:eastAsia="宋体" w:cs="宋体"/>
          <w:snapToGrid w:val="0"/>
          <w:color w:val="000000"/>
          <w:spacing w:val="-1"/>
          <w:kern w:val="0"/>
          <w:sz w:val="22"/>
          <w:szCs w:val="22"/>
          <w:highlight w:val="none"/>
          <w:lang w:val="en-US" w:eastAsia="en-US" w:bidi="ar-SA"/>
        </w:rPr>
        <w:t>允许延期履行、部分履行或</w:t>
      </w:r>
      <w:r>
        <w:rPr>
          <w:rFonts w:ascii="宋体" w:hAnsi="宋体" w:eastAsia="宋体" w:cs="宋体"/>
          <w:snapToGrid w:val="0"/>
          <w:color w:val="000000"/>
          <w:spacing w:val="2"/>
          <w:kern w:val="0"/>
          <w:sz w:val="22"/>
          <w:szCs w:val="22"/>
          <w:highlight w:val="none"/>
          <w:lang w:val="en-US" w:eastAsia="en-US" w:bidi="ar-SA"/>
        </w:rPr>
        <w:t>者不履行合同，并根据情况可部分或全部免予承</w:t>
      </w:r>
      <w:r>
        <w:rPr>
          <w:rFonts w:ascii="宋体" w:hAnsi="宋体" w:eastAsia="宋体" w:cs="宋体"/>
          <w:snapToGrid w:val="0"/>
          <w:color w:val="000000"/>
          <w:spacing w:val="1"/>
          <w:kern w:val="0"/>
          <w:sz w:val="22"/>
          <w:szCs w:val="22"/>
          <w:highlight w:val="none"/>
          <w:lang w:val="en-US" w:eastAsia="en-US" w:bidi="ar-SA"/>
        </w:rPr>
        <w:t>担违约责任。</w:t>
      </w:r>
    </w:p>
    <w:p>
      <w:pPr>
        <w:kinsoku w:val="0"/>
        <w:autoSpaceDE w:val="0"/>
        <w:autoSpaceDN w:val="0"/>
        <w:adjustRightInd w:val="0"/>
        <w:snapToGrid w:val="0"/>
        <w:spacing w:before="185" w:line="223" w:lineRule="auto"/>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5"/>
          <w:kern w:val="0"/>
          <w:sz w:val="22"/>
          <w:szCs w:val="22"/>
          <w:highlight w:val="none"/>
          <w:lang w:val="en-US" w:eastAsia="en-US" w:bidi="ar-SA"/>
          <w14:textOutline w14:w="4441" w14:cap="flat" w14:cmpd="sng">
            <w14:solidFill>
              <w14:srgbClr w14:val="000000"/>
            </w14:solidFill>
            <w14:prstDash w14:val="solid"/>
            <w14:miter w14:val="0"/>
          </w14:textOutline>
        </w:rPr>
        <w:t>第十三条</w:t>
      </w:r>
      <w:r>
        <w:rPr>
          <w:rFonts w:ascii="宋体" w:hAnsi="宋体" w:eastAsia="宋体" w:cs="宋体"/>
          <w:snapToGrid w:val="0"/>
          <w:color w:val="000000"/>
          <w:spacing w:val="5"/>
          <w:kern w:val="0"/>
          <w:sz w:val="22"/>
          <w:szCs w:val="22"/>
          <w:highlight w:val="none"/>
          <w:lang w:val="en-US" w:eastAsia="en-US" w:bidi="ar-SA"/>
        </w:rPr>
        <w:t xml:space="preserve">  </w:t>
      </w:r>
      <w:r>
        <w:rPr>
          <w:rFonts w:ascii="宋体" w:hAnsi="宋体" w:eastAsia="宋体" w:cs="宋体"/>
          <w:snapToGrid w:val="0"/>
          <w:color w:val="000000"/>
          <w:spacing w:val="5"/>
          <w:kern w:val="0"/>
          <w:sz w:val="22"/>
          <w:szCs w:val="22"/>
          <w:highlight w:val="none"/>
          <w:lang w:val="en-US" w:eastAsia="en-US" w:bidi="ar-SA"/>
          <w14:textOutline w14:w="4441" w14:cap="flat" w14:cmpd="sng">
            <w14:solidFill>
              <w14:srgbClr w14:val="000000"/>
            </w14:solidFill>
            <w14:prstDash w14:val="solid"/>
            <w14:miter w14:val="0"/>
          </w14:textOutline>
        </w:rPr>
        <w:t>履约保证金</w:t>
      </w:r>
    </w:p>
    <w:p>
      <w:pPr>
        <w:keepNext w:val="0"/>
        <w:keepLines w:val="0"/>
        <w:pageBreakBefore w:val="0"/>
        <w:widowControl/>
        <w:kinsoku w:val="0"/>
        <w:wordWrap/>
        <w:overflowPunct/>
        <w:topLinePunct w:val="0"/>
        <w:autoSpaceDE w:val="0"/>
        <w:autoSpaceDN w:val="0"/>
        <w:bidi w:val="0"/>
        <w:adjustRightInd w:val="0"/>
        <w:snapToGrid w:val="0"/>
        <w:spacing w:before="100" w:line="400" w:lineRule="exact"/>
        <w:ind w:left="62" w:firstLine="440" w:firstLineChars="200"/>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kern w:val="0"/>
          <w:sz w:val="22"/>
          <w:szCs w:val="22"/>
          <w:highlight w:val="none"/>
          <w:lang w:val="en-US" w:eastAsia="en-US" w:bidi="ar-SA"/>
        </w:rPr>
        <w:t>1.</w:t>
      </w:r>
      <w:r>
        <w:rPr>
          <w:rFonts w:hint="eastAsia" w:ascii="宋体" w:hAnsi="宋体" w:eastAsia="宋体" w:cs="宋体"/>
          <w:snapToGrid w:val="0"/>
          <w:color w:val="000000"/>
          <w:kern w:val="0"/>
          <w:sz w:val="22"/>
          <w:szCs w:val="22"/>
          <w:highlight w:val="none"/>
          <w:lang w:val="en-US" w:eastAsia="zh-CN" w:bidi="ar-SA"/>
        </w:rPr>
        <w:t>（1）乙方</w:t>
      </w:r>
      <w:r>
        <w:rPr>
          <w:rFonts w:hint="eastAsia" w:ascii="宋体" w:hAnsi="宋体" w:eastAsia="宋体" w:cs="宋体"/>
          <w:snapToGrid w:val="0"/>
          <w:color w:val="000000"/>
          <w:kern w:val="0"/>
          <w:sz w:val="22"/>
          <w:szCs w:val="22"/>
          <w:highlight w:val="none"/>
          <w:lang w:val="en-US" w:eastAsia="en-US" w:bidi="ar-SA"/>
        </w:rPr>
        <w:t>在签订合同时应向采购人提交人民币</w:t>
      </w:r>
      <w:r>
        <w:rPr>
          <w:rFonts w:hint="eastAsia" w:ascii="宋体" w:hAnsi="宋体" w:eastAsia="宋体" w:cs="宋体"/>
          <w:snapToGrid w:val="0"/>
          <w:color w:val="000000"/>
          <w:kern w:val="0"/>
          <w:sz w:val="22"/>
          <w:szCs w:val="22"/>
          <w:highlight w:val="none"/>
          <w:u w:val="single"/>
          <w:lang w:val="en-US" w:eastAsia="en-US" w:bidi="ar-SA"/>
        </w:rPr>
        <w:t>10万元</w:t>
      </w:r>
      <w:r>
        <w:rPr>
          <w:rFonts w:hint="eastAsia" w:ascii="宋体" w:hAnsi="宋体" w:eastAsia="宋体" w:cs="宋体"/>
          <w:snapToGrid w:val="0"/>
          <w:color w:val="000000"/>
          <w:kern w:val="0"/>
          <w:sz w:val="22"/>
          <w:szCs w:val="22"/>
          <w:highlight w:val="none"/>
          <w:lang w:val="en-US" w:eastAsia="en-US" w:bidi="ar-SA"/>
        </w:rPr>
        <w:t>的履约保证金。</w:t>
      </w:r>
      <w:r>
        <w:rPr>
          <w:rFonts w:hint="eastAsia" w:ascii="宋体" w:hAnsi="宋体" w:eastAsia="宋体" w:cs="宋体"/>
          <w:snapToGrid w:val="0"/>
          <w:color w:val="000000"/>
          <w:kern w:val="0"/>
          <w:sz w:val="22"/>
          <w:szCs w:val="22"/>
          <w:highlight w:val="none"/>
          <w:lang w:val="en-US" w:eastAsia="zh-CN" w:bidi="ar-SA"/>
        </w:rPr>
        <w:t>（2）</w:t>
      </w:r>
      <w:r>
        <w:rPr>
          <w:rFonts w:hint="eastAsia" w:ascii="宋体" w:hAnsi="宋体" w:eastAsia="宋体" w:cs="宋体"/>
          <w:snapToGrid w:val="0"/>
          <w:color w:val="000000"/>
          <w:kern w:val="0"/>
          <w:sz w:val="22"/>
          <w:szCs w:val="22"/>
          <w:highlight w:val="none"/>
          <w:lang w:val="en-US" w:eastAsia="en-US" w:bidi="ar-SA"/>
        </w:rPr>
        <w:t>中标人可以通过转账、网银支付等方式提交履约保证金。</w:t>
      </w:r>
      <w:r>
        <w:rPr>
          <w:rFonts w:hint="eastAsia" w:ascii="宋体" w:hAnsi="宋体" w:eastAsia="宋体" w:cs="宋体"/>
          <w:snapToGrid w:val="0"/>
          <w:color w:val="000000"/>
          <w:kern w:val="0"/>
          <w:sz w:val="22"/>
          <w:szCs w:val="22"/>
          <w:highlight w:val="none"/>
          <w:lang w:val="en-US" w:eastAsia="zh-CN" w:bidi="ar-SA"/>
        </w:rPr>
        <w:t>（3）</w:t>
      </w:r>
      <w:r>
        <w:rPr>
          <w:rFonts w:hint="eastAsia" w:ascii="宋体" w:hAnsi="宋体" w:eastAsia="宋体" w:cs="宋体"/>
          <w:snapToGrid w:val="0"/>
          <w:color w:val="000000"/>
          <w:kern w:val="0"/>
          <w:sz w:val="22"/>
          <w:szCs w:val="22"/>
          <w:highlight w:val="none"/>
          <w:lang w:val="en-US" w:eastAsia="en-US" w:bidi="ar-SA"/>
        </w:rPr>
        <w:t>所有车辆电池组及相关组件更换完成，项目整体验收通过后无息退还履约保证金。</w:t>
      </w:r>
    </w:p>
    <w:p>
      <w:pPr>
        <w:keepNext w:val="0"/>
        <w:keepLines w:val="0"/>
        <w:pageBreakBefore w:val="0"/>
        <w:widowControl/>
        <w:kinsoku w:val="0"/>
        <w:wordWrap/>
        <w:overflowPunct/>
        <w:topLinePunct w:val="0"/>
        <w:autoSpaceDE w:val="0"/>
        <w:autoSpaceDN w:val="0"/>
        <w:bidi w:val="0"/>
        <w:adjustRightInd w:val="0"/>
        <w:snapToGrid w:val="0"/>
        <w:spacing w:before="100" w:line="400" w:lineRule="exact"/>
        <w:ind w:left="516"/>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2"/>
          <w:kern w:val="0"/>
          <w:sz w:val="22"/>
          <w:szCs w:val="22"/>
          <w:highlight w:val="none"/>
          <w:lang w:val="en-US" w:eastAsia="en-US" w:bidi="ar-SA"/>
        </w:rPr>
        <w:t>2.如乙方未能履行其合同规定的任何义务， 甲方有权从履约保证金中取得补偿。</w:t>
      </w:r>
    </w:p>
    <w:p>
      <w:pPr>
        <w:kinsoku w:val="0"/>
        <w:autoSpaceDE w:val="0"/>
        <w:autoSpaceDN w:val="0"/>
        <w:adjustRightInd w:val="0"/>
        <w:snapToGrid w:val="0"/>
        <w:spacing w:before="171" w:line="223" w:lineRule="auto"/>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6"/>
          <w:kern w:val="0"/>
          <w:sz w:val="22"/>
          <w:szCs w:val="22"/>
          <w:highlight w:val="none"/>
          <w:lang w:val="en-US" w:eastAsia="en-US" w:bidi="ar-SA"/>
          <w14:textOutline w14:w="4441" w14:cap="flat" w14:cmpd="sng">
            <w14:solidFill>
              <w14:srgbClr w14:val="000000"/>
            </w14:solidFill>
            <w14:prstDash w14:val="solid"/>
            <w14:miter w14:val="0"/>
          </w14:textOutline>
        </w:rPr>
        <w:t>第十四条</w:t>
      </w:r>
      <w:r>
        <w:rPr>
          <w:rFonts w:ascii="宋体" w:hAnsi="宋体" w:eastAsia="宋体" w:cs="宋体"/>
          <w:snapToGrid w:val="0"/>
          <w:color w:val="000000"/>
          <w:kern w:val="0"/>
          <w:sz w:val="22"/>
          <w:szCs w:val="22"/>
          <w:highlight w:val="none"/>
          <w:lang w:val="en-US" w:eastAsia="en-US" w:bidi="ar-SA"/>
        </w:rPr>
        <w:t xml:space="preserve">  </w:t>
      </w:r>
      <w:r>
        <w:rPr>
          <w:rFonts w:ascii="宋体" w:hAnsi="宋体" w:eastAsia="宋体" w:cs="宋体"/>
          <w:snapToGrid w:val="0"/>
          <w:color w:val="000000"/>
          <w:spacing w:val="6"/>
          <w:kern w:val="0"/>
          <w:sz w:val="22"/>
          <w:szCs w:val="22"/>
          <w:highlight w:val="none"/>
          <w:lang w:val="en-US" w:eastAsia="en-US" w:bidi="ar-SA"/>
          <w14:textOutline w14:w="4441" w14:cap="flat" w14:cmpd="sng">
            <w14:solidFill>
              <w14:srgbClr w14:val="000000"/>
            </w14:solidFill>
            <w14:prstDash w14:val="solid"/>
            <w14:miter w14:val="0"/>
          </w14:textOutline>
        </w:rPr>
        <w:t>转让与分包</w:t>
      </w:r>
    </w:p>
    <w:p>
      <w:pPr>
        <w:kinsoku w:val="0"/>
        <w:autoSpaceDE w:val="0"/>
        <w:autoSpaceDN w:val="0"/>
        <w:adjustRightInd w:val="0"/>
        <w:snapToGrid w:val="0"/>
        <w:spacing w:before="172" w:line="222" w:lineRule="auto"/>
        <w:ind w:left="676"/>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1"/>
          <w:kern w:val="0"/>
          <w:sz w:val="22"/>
          <w:szCs w:val="22"/>
          <w:highlight w:val="none"/>
          <w:lang w:val="en-US" w:eastAsia="en-US" w:bidi="ar-SA"/>
        </w:rPr>
        <w:t>1.除甲方事先书面同意外，乙方不得部分转让或全部转让其应履行的</w:t>
      </w:r>
      <w:r>
        <w:rPr>
          <w:rFonts w:ascii="宋体" w:hAnsi="宋体" w:eastAsia="宋体" w:cs="宋体"/>
          <w:snapToGrid w:val="0"/>
          <w:color w:val="000000"/>
          <w:kern w:val="0"/>
          <w:sz w:val="22"/>
          <w:szCs w:val="22"/>
          <w:highlight w:val="none"/>
          <w:lang w:val="en-US" w:eastAsia="en-US" w:bidi="ar-SA"/>
        </w:rPr>
        <w:t>合同义务。</w:t>
      </w:r>
    </w:p>
    <w:p>
      <w:pPr>
        <w:kinsoku w:val="0"/>
        <w:autoSpaceDE w:val="0"/>
        <w:autoSpaceDN w:val="0"/>
        <w:adjustRightInd w:val="0"/>
        <w:snapToGrid w:val="0"/>
        <w:spacing w:before="187" w:line="461" w:lineRule="exact"/>
        <w:ind w:left="661"/>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5"/>
          <w:kern w:val="0"/>
          <w:position w:val="16"/>
          <w:sz w:val="22"/>
          <w:szCs w:val="22"/>
          <w:highlight w:val="none"/>
          <w:lang w:val="en-US" w:eastAsia="en-US" w:bidi="ar-SA"/>
        </w:rPr>
        <w:t>2.乙方应在</w:t>
      </w:r>
      <w:r>
        <w:rPr>
          <w:rFonts w:hint="eastAsia" w:ascii="宋体" w:hAnsi="宋体" w:eastAsia="宋体" w:cs="宋体"/>
          <w:snapToGrid w:val="0"/>
          <w:color w:val="000000"/>
          <w:spacing w:val="5"/>
          <w:kern w:val="0"/>
          <w:position w:val="16"/>
          <w:sz w:val="22"/>
          <w:szCs w:val="22"/>
          <w:highlight w:val="none"/>
          <w:lang w:val="en-US" w:eastAsia="zh-CN" w:bidi="ar-SA"/>
        </w:rPr>
        <w:t>响应</w:t>
      </w:r>
      <w:r>
        <w:rPr>
          <w:rFonts w:ascii="宋体" w:hAnsi="宋体" w:eastAsia="宋体" w:cs="宋体"/>
          <w:snapToGrid w:val="0"/>
          <w:color w:val="000000"/>
          <w:spacing w:val="5"/>
          <w:kern w:val="0"/>
          <w:position w:val="16"/>
          <w:sz w:val="22"/>
          <w:szCs w:val="22"/>
          <w:highlight w:val="none"/>
          <w:lang w:val="en-US" w:eastAsia="en-US" w:bidi="ar-SA"/>
        </w:rPr>
        <w:t>文件中或以其他书面形式对甲方确认</w:t>
      </w:r>
      <w:r>
        <w:rPr>
          <w:rFonts w:ascii="宋体" w:hAnsi="宋体" w:eastAsia="宋体" w:cs="宋体"/>
          <w:snapToGrid w:val="0"/>
          <w:color w:val="000000"/>
          <w:spacing w:val="4"/>
          <w:kern w:val="0"/>
          <w:position w:val="16"/>
          <w:sz w:val="22"/>
          <w:szCs w:val="22"/>
          <w:highlight w:val="none"/>
          <w:lang w:val="en-US" w:eastAsia="en-US" w:bidi="ar-SA"/>
        </w:rPr>
        <w:t>本合同项下所授予的所有分包</w:t>
      </w:r>
    </w:p>
    <w:p>
      <w:pPr>
        <w:kinsoku w:val="0"/>
        <w:autoSpaceDE w:val="0"/>
        <w:autoSpaceDN w:val="0"/>
        <w:adjustRightInd w:val="0"/>
        <w:snapToGrid w:val="0"/>
        <w:spacing w:line="222" w:lineRule="auto"/>
        <w:ind w:firstLine="224" w:firstLineChars="100"/>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2"/>
          <w:kern w:val="0"/>
          <w:sz w:val="22"/>
          <w:szCs w:val="22"/>
          <w:highlight w:val="none"/>
          <w:lang w:val="en-US" w:eastAsia="en-US" w:bidi="ar-SA"/>
        </w:rPr>
        <w:t>合同。但该确认不解除乙方承担的本合同下的任何责任或义务。即在本合同项下，</w:t>
      </w:r>
      <w:r>
        <w:rPr>
          <w:rFonts w:ascii="宋体" w:hAnsi="宋体" w:eastAsia="宋体" w:cs="宋体"/>
          <w:snapToGrid w:val="0"/>
          <w:color w:val="000000"/>
          <w:spacing w:val="1"/>
          <w:kern w:val="0"/>
          <w:sz w:val="22"/>
          <w:szCs w:val="22"/>
          <w:highlight w:val="none"/>
          <w:lang w:val="en-US" w:eastAsia="en-US" w:bidi="ar-SA"/>
        </w:rPr>
        <w:t>乙方对</w:t>
      </w:r>
      <w:r>
        <w:rPr>
          <w:rFonts w:ascii="宋体" w:hAnsi="宋体" w:eastAsia="宋体" w:cs="宋体"/>
          <w:snapToGrid w:val="0"/>
          <w:color w:val="000000"/>
          <w:spacing w:val="-7"/>
          <w:kern w:val="0"/>
          <w:sz w:val="22"/>
          <w:szCs w:val="22"/>
          <w:highlight w:val="none"/>
          <w:lang w:val="en-US" w:eastAsia="en-US" w:bidi="ar-SA"/>
        </w:rPr>
        <w:t>甲方负总责。</w:t>
      </w:r>
    </w:p>
    <w:p>
      <w:pPr>
        <w:keepNext w:val="0"/>
        <w:keepLines w:val="0"/>
        <w:pageBreakBefore w:val="0"/>
        <w:widowControl w:val="0"/>
        <w:kinsoku w:val="0"/>
        <w:wordWrap/>
        <w:overflowPunct/>
        <w:topLinePunct w:val="0"/>
        <w:autoSpaceDE w:val="0"/>
        <w:autoSpaceDN w:val="0"/>
        <w:bidi w:val="0"/>
        <w:adjustRightInd w:val="0"/>
        <w:snapToGrid w:val="0"/>
        <w:spacing w:before="171" w:line="520" w:lineRule="exact"/>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3"/>
          <w:kern w:val="0"/>
          <w:sz w:val="22"/>
          <w:szCs w:val="22"/>
          <w:highlight w:val="none"/>
          <w:lang w:val="en-US" w:eastAsia="en-US" w:bidi="ar-SA"/>
          <w14:textOutline w14:w="4441" w14:cap="flat" w14:cmpd="sng">
            <w14:solidFill>
              <w14:srgbClr w14:val="000000"/>
            </w14:solidFill>
            <w14:prstDash w14:val="solid"/>
            <w14:miter w14:val="0"/>
          </w14:textOutline>
        </w:rPr>
        <w:t>第十五条</w:t>
      </w:r>
      <w:r>
        <w:rPr>
          <w:rFonts w:ascii="宋体" w:hAnsi="宋体" w:eastAsia="宋体" w:cs="宋体"/>
          <w:snapToGrid w:val="0"/>
          <w:color w:val="000000"/>
          <w:spacing w:val="5"/>
          <w:kern w:val="0"/>
          <w:sz w:val="22"/>
          <w:szCs w:val="22"/>
          <w:highlight w:val="none"/>
          <w:lang w:val="en-US" w:eastAsia="en-US" w:bidi="ar-SA"/>
        </w:rPr>
        <w:t xml:space="preserve">  </w:t>
      </w:r>
      <w:r>
        <w:rPr>
          <w:rFonts w:ascii="宋体" w:hAnsi="宋体" w:eastAsia="宋体" w:cs="宋体"/>
          <w:snapToGrid w:val="0"/>
          <w:color w:val="000000"/>
          <w:spacing w:val="3"/>
          <w:kern w:val="0"/>
          <w:sz w:val="22"/>
          <w:szCs w:val="22"/>
          <w:highlight w:val="none"/>
          <w:lang w:val="en-US" w:eastAsia="en-US" w:bidi="ar-SA"/>
          <w14:textOutline w14:w="4441" w14:cap="flat" w14:cmpd="sng">
            <w14:solidFill>
              <w14:srgbClr w14:val="000000"/>
            </w14:solidFill>
            <w14:prstDash w14:val="solid"/>
            <w14:miter w14:val="0"/>
          </w14:textOutline>
        </w:rPr>
        <w:t>合同文件及资料的使用</w:t>
      </w:r>
    </w:p>
    <w:p>
      <w:pPr>
        <w:keepNext w:val="0"/>
        <w:keepLines w:val="0"/>
        <w:pageBreakBefore w:val="0"/>
        <w:widowControl w:val="0"/>
        <w:kinsoku w:val="0"/>
        <w:wordWrap/>
        <w:overflowPunct/>
        <w:topLinePunct w:val="0"/>
        <w:autoSpaceDE w:val="0"/>
        <w:autoSpaceDN w:val="0"/>
        <w:bidi w:val="0"/>
        <w:adjustRightInd w:val="0"/>
        <w:snapToGrid w:val="0"/>
        <w:spacing w:line="520" w:lineRule="exact"/>
        <w:ind w:left="0" w:firstLine="636" w:firstLineChars="300"/>
        <w:jc w:val="left"/>
        <w:textAlignment w:val="baseline"/>
        <w:rPr>
          <w:rFonts w:hint="eastAsia" w:ascii="宋体" w:hAnsi="宋体" w:eastAsia="宋体" w:cs="宋体"/>
          <w:snapToGrid w:val="0"/>
          <w:color w:val="000000"/>
          <w:spacing w:val="-4"/>
          <w:kern w:val="0"/>
          <w:position w:val="16"/>
          <w:sz w:val="22"/>
          <w:szCs w:val="22"/>
          <w:highlight w:val="none"/>
          <w:lang w:val="en-US" w:eastAsia="en-US" w:bidi="ar-SA"/>
        </w:rPr>
      </w:pPr>
      <w:r>
        <w:rPr>
          <w:rFonts w:hint="eastAsia" w:ascii="宋体" w:hAnsi="宋体" w:eastAsia="宋体" w:cs="宋体"/>
          <w:snapToGrid w:val="0"/>
          <w:color w:val="000000"/>
          <w:spacing w:val="-4"/>
          <w:kern w:val="0"/>
          <w:position w:val="16"/>
          <w:sz w:val="22"/>
          <w:szCs w:val="22"/>
          <w:highlight w:val="none"/>
          <w:lang w:val="en-US" w:eastAsia="zh-CN" w:bidi="ar-SA"/>
        </w:rPr>
        <w:t>1.</w:t>
      </w:r>
      <w:r>
        <w:rPr>
          <w:rFonts w:hint="eastAsia" w:ascii="宋体" w:hAnsi="宋体" w:eastAsia="宋体" w:cs="宋体"/>
          <w:snapToGrid w:val="0"/>
          <w:color w:val="000000"/>
          <w:spacing w:val="-4"/>
          <w:kern w:val="0"/>
          <w:position w:val="16"/>
          <w:sz w:val="22"/>
          <w:szCs w:val="22"/>
          <w:highlight w:val="none"/>
          <w:lang w:val="en-US" w:eastAsia="en-US" w:bidi="ar-SA"/>
        </w:rPr>
        <w:t>乙方在未经甲方同意的情况下，不得将合同、合同中的规定、有关计划、图纸、样本或甲方为上述内容向乙方提供的资料透露给任何人。</w:t>
      </w:r>
    </w:p>
    <w:p>
      <w:pPr>
        <w:keepNext w:val="0"/>
        <w:keepLines w:val="0"/>
        <w:pageBreakBefore w:val="0"/>
        <w:widowControl w:val="0"/>
        <w:kinsoku w:val="0"/>
        <w:wordWrap/>
        <w:overflowPunct/>
        <w:topLinePunct w:val="0"/>
        <w:autoSpaceDE w:val="0"/>
        <w:autoSpaceDN w:val="0"/>
        <w:bidi w:val="0"/>
        <w:adjustRightInd w:val="0"/>
        <w:snapToGrid w:val="0"/>
        <w:spacing w:line="461" w:lineRule="exact"/>
        <w:ind w:left="0" w:firstLine="636" w:firstLineChars="300"/>
        <w:jc w:val="left"/>
        <w:textAlignment w:val="baseline"/>
        <w:rPr>
          <w:rFonts w:hint="eastAsia" w:ascii="宋体" w:hAnsi="宋体" w:eastAsia="宋体" w:cs="宋体"/>
          <w:snapToGrid w:val="0"/>
          <w:color w:val="000000"/>
          <w:spacing w:val="-4"/>
          <w:kern w:val="0"/>
          <w:position w:val="16"/>
          <w:sz w:val="22"/>
          <w:szCs w:val="22"/>
          <w:highlight w:val="none"/>
          <w:lang w:val="en-US" w:eastAsia="en-US" w:bidi="ar-SA"/>
        </w:rPr>
      </w:pPr>
      <w:r>
        <w:rPr>
          <w:rFonts w:hint="eastAsia" w:ascii="宋体" w:hAnsi="宋体" w:eastAsia="宋体" w:cs="宋体"/>
          <w:snapToGrid w:val="0"/>
          <w:color w:val="000000"/>
          <w:spacing w:val="-4"/>
          <w:kern w:val="0"/>
          <w:position w:val="16"/>
          <w:sz w:val="22"/>
          <w:szCs w:val="22"/>
          <w:highlight w:val="none"/>
          <w:lang w:val="en-US" w:eastAsia="en-US" w:bidi="ar-SA"/>
        </w:rPr>
        <w:t>2.除非执行合同需要，在事先未得到甲方同意的情况下，乙方不得使用前款所列的任何文件和资料。</w:t>
      </w:r>
    </w:p>
    <w:p>
      <w:pPr>
        <w:kinsoku w:val="0"/>
        <w:autoSpaceDE w:val="0"/>
        <w:autoSpaceDN w:val="0"/>
        <w:adjustRightInd w:val="0"/>
        <w:snapToGrid w:val="0"/>
        <w:spacing w:before="186" w:line="223" w:lineRule="auto"/>
        <w:ind w:left="38"/>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8"/>
          <w:kern w:val="0"/>
          <w:sz w:val="22"/>
          <w:szCs w:val="22"/>
          <w:highlight w:val="none"/>
          <w:lang w:val="en-US" w:eastAsia="en-US" w:bidi="ar-SA"/>
          <w14:textOutline w14:w="4441" w14:cap="flat" w14:cmpd="sng">
            <w14:solidFill>
              <w14:srgbClr w14:val="000000"/>
            </w14:solidFill>
            <w14:prstDash w14:val="solid"/>
            <w14:miter w14:val="0"/>
          </w14:textOutline>
        </w:rPr>
        <w:t>第十六条</w:t>
      </w:r>
      <w:r>
        <w:rPr>
          <w:rFonts w:ascii="宋体" w:hAnsi="宋体" w:eastAsia="宋体" w:cs="宋体"/>
          <w:snapToGrid w:val="0"/>
          <w:color w:val="000000"/>
          <w:spacing w:val="97"/>
          <w:kern w:val="0"/>
          <w:sz w:val="22"/>
          <w:szCs w:val="22"/>
          <w:highlight w:val="none"/>
          <w:lang w:val="en-US" w:eastAsia="en-US" w:bidi="ar-SA"/>
        </w:rPr>
        <w:t xml:space="preserve"> </w:t>
      </w:r>
      <w:r>
        <w:rPr>
          <w:rFonts w:ascii="宋体" w:hAnsi="宋体" w:eastAsia="宋体" w:cs="宋体"/>
          <w:snapToGrid w:val="0"/>
          <w:color w:val="000000"/>
          <w:spacing w:val="8"/>
          <w:kern w:val="0"/>
          <w:sz w:val="22"/>
          <w:szCs w:val="22"/>
          <w:highlight w:val="none"/>
          <w:lang w:val="en-US" w:eastAsia="en-US" w:bidi="ar-SA"/>
          <w14:textOutline w14:w="4441" w14:cap="flat" w14:cmpd="sng">
            <w14:solidFill>
              <w14:srgbClr w14:val="000000"/>
            </w14:solidFill>
            <w14:prstDash w14:val="solid"/>
            <w14:miter w14:val="0"/>
          </w14:textOutline>
        </w:rPr>
        <w:t>其他</w:t>
      </w:r>
    </w:p>
    <w:p>
      <w:pPr>
        <w:kinsoku w:val="0"/>
        <w:autoSpaceDE w:val="0"/>
        <w:autoSpaceDN w:val="0"/>
        <w:adjustRightInd w:val="0"/>
        <w:snapToGrid w:val="0"/>
        <w:spacing w:before="171" w:line="360" w:lineRule="auto"/>
        <w:ind w:left="38" w:right="93" w:firstLine="623"/>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2"/>
          <w:kern w:val="0"/>
          <w:sz w:val="22"/>
          <w:szCs w:val="22"/>
          <w:highlight w:val="none"/>
          <w:lang w:val="en-US" w:eastAsia="en-US" w:bidi="ar-SA"/>
        </w:rPr>
        <w:t>1.按本合同规定应该偿付的违约金、赔偿金、保管保养费和各种经济损失，应当在明</w:t>
      </w:r>
      <w:r>
        <w:rPr>
          <w:rFonts w:ascii="宋体" w:hAnsi="宋体" w:eastAsia="宋体" w:cs="宋体"/>
          <w:snapToGrid w:val="0"/>
          <w:color w:val="000000"/>
          <w:spacing w:val="-3"/>
          <w:kern w:val="0"/>
          <w:sz w:val="22"/>
          <w:szCs w:val="22"/>
          <w:highlight w:val="none"/>
          <w:lang w:val="en-US" w:eastAsia="en-US" w:bidi="ar-SA"/>
        </w:rPr>
        <w:t>确责任后</w:t>
      </w:r>
      <w:r>
        <w:rPr>
          <w:rFonts w:ascii="宋体" w:hAnsi="宋体" w:eastAsia="宋体" w:cs="宋体"/>
          <w:snapToGrid w:val="0"/>
          <w:color w:val="000000"/>
          <w:spacing w:val="-49"/>
          <w:kern w:val="0"/>
          <w:sz w:val="22"/>
          <w:szCs w:val="22"/>
          <w:highlight w:val="none"/>
          <w:lang w:val="en-US" w:eastAsia="en-US" w:bidi="ar-SA"/>
        </w:rPr>
        <w:t xml:space="preserve"> </w:t>
      </w:r>
      <w:r>
        <w:rPr>
          <w:rFonts w:ascii="宋体" w:hAnsi="宋体" w:eastAsia="宋体" w:cs="宋体"/>
          <w:snapToGrid w:val="0"/>
          <w:color w:val="000000"/>
          <w:spacing w:val="-3"/>
          <w:kern w:val="0"/>
          <w:sz w:val="22"/>
          <w:szCs w:val="22"/>
          <w:highlight w:val="none"/>
          <w:lang w:val="en-US" w:eastAsia="en-US" w:bidi="ar-SA"/>
        </w:rPr>
        <w:t>10</w:t>
      </w:r>
      <w:r>
        <w:rPr>
          <w:rFonts w:ascii="宋体" w:hAnsi="宋体" w:eastAsia="宋体" w:cs="宋体"/>
          <w:snapToGrid w:val="0"/>
          <w:color w:val="000000"/>
          <w:spacing w:val="-55"/>
          <w:kern w:val="0"/>
          <w:sz w:val="22"/>
          <w:szCs w:val="22"/>
          <w:highlight w:val="none"/>
          <w:lang w:val="en-US" w:eastAsia="en-US" w:bidi="ar-SA"/>
        </w:rPr>
        <w:t xml:space="preserve"> </w:t>
      </w:r>
      <w:r>
        <w:rPr>
          <w:rFonts w:ascii="宋体" w:hAnsi="宋体" w:eastAsia="宋体" w:cs="宋体"/>
          <w:snapToGrid w:val="0"/>
          <w:color w:val="000000"/>
          <w:spacing w:val="-3"/>
          <w:kern w:val="0"/>
          <w:sz w:val="22"/>
          <w:szCs w:val="22"/>
          <w:highlight w:val="none"/>
          <w:lang w:val="en-US" w:eastAsia="en-US" w:bidi="ar-SA"/>
        </w:rPr>
        <w:t>天内，按银行规定的结算办法付清</w:t>
      </w:r>
      <w:r>
        <w:rPr>
          <w:rFonts w:ascii="宋体" w:hAnsi="宋体" w:eastAsia="宋体" w:cs="宋体"/>
          <w:snapToGrid w:val="0"/>
          <w:color w:val="000000"/>
          <w:spacing w:val="-4"/>
          <w:kern w:val="0"/>
          <w:sz w:val="22"/>
          <w:szCs w:val="22"/>
          <w:highlight w:val="none"/>
          <w:lang w:val="en-US" w:eastAsia="en-US" w:bidi="ar-SA"/>
        </w:rPr>
        <w:t>；逾期支付的款项，</w:t>
      </w:r>
      <w:r>
        <w:rPr>
          <w:rFonts w:ascii="宋体" w:hAnsi="宋体" w:eastAsia="宋体" w:cs="宋体"/>
          <w:snapToGrid w:val="0"/>
          <w:color w:val="000000"/>
          <w:spacing w:val="-43"/>
          <w:kern w:val="0"/>
          <w:sz w:val="22"/>
          <w:szCs w:val="22"/>
          <w:highlight w:val="none"/>
          <w:lang w:val="en-US" w:eastAsia="en-US" w:bidi="ar-SA"/>
        </w:rPr>
        <w:t xml:space="preserve"> </w:t>
      </w:r>
      <w:r>
        <w:rPr>
          <w:rFonts w:ascii="宋体" w:hAnsi="宋体" w:eastAsia="宋体" w:cs="宋体"/>
          <w:snapToGrid w:val="0"/>
          <w:color w:val="000000"/>
          <w:spacing w:val="-4"/>
          <w:kern w:val="0"/>
          <w:sz w:val="22"/>
          <w:szCs w:val="22"/>
          <w:highlight w:val="none"/>
          <w:lang w:val="en-US" w:eastAsia="en-US" w:bidi="ar-SA"/>
        </w:rPr>
        <w:t>按照银行同期活期存款</w:t>
      </w:r>
      <w:r>
        <w:rPr>
          <w:rFonts w:ascii="宋体" w:hAnsi="宋体" w:eastAsia="宋体" w:cs="宋体"/>
          <w:snapToGrid w:val="0"/>
          <w:color w:val="000000"/>
          <w:spacing w:val="2"/>
          <w:kern w:val="0"/>
          <w:sz w:val="22"/>
          <w:szCs w:val="22"/>
          <w:highlight w:val="none"/>
          <w:lang w:val="en-US" w:eastAsia="en-US" w:bidi="ar-SA"/>
        </w:rPr>
        <w:t>利率收取利息。</w:t>
      </w:r>
    </w:p>
    <w:p>
      <w:pPr>
        <w:kinsoku w:val="0"/>
        <w:autoSpaceDE w:val="0"/>
        <w:autoSpaceDN w:val="0"/>
        <w:adjustRightInd w:val="0"/>
        <w:snapToGrid w:val="0"/>
        <w:spacing w:before="171" w:line="476" w:lineRule="exact"/>
        <w:ind w:left="661"/>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5"/>
          <w:kern w:val="0"/>
          <w:position w:val="17"/>
          <w:sz w:val="22"/>
          <w:szCs w:val="22"/>
          <w:highlight w:val="none"/>
          <w:lang w:val="en-US" w:eastAsia="en-US" w:bidi="ar-SA"/>
        </w:rPr>
        <w:t>2.本合同如发生纠纷，当事人双方应当及时协商解决，</w:t>
      </w:r>
      <w:r>
        <w:rPr>
          <w:rFonts w:ascii="宋体" w:hAnsi="宋体" w:eastAsia="宋体" w:cs="宋体"/>
          <w:snapToGrid w:val="0"/>
          <w:color w:val="000000"/>
          <w:spacing w:val="-52"/>
          <w:kern w:val="0"/>
          <w:position w:val="17"/>
          <w:sz w:val="22"/>
          <w:szCs w:val="22"/>
          <w:highlight w:val="none"/>
          <w:lang w:val="en-US" w:eastAsia="en-US" w:bidi="ar-SA"/>
        </w:rPr>
        <w:t xml:space="preserve"> </w:t>
      </w:r>
      <w:r>
        <w:rPr>
          <w:rFonts w:ascii="宋体" w:hAnsi="宋体" w:eastAsia="宋体" w:cs="宋体"/>
          <w:snapToGrid w:val="0"/>
          <w:color w:val="000000"/>
          <w:spacing w:val="-6"/>
          <w:kern w:val="0"/>
          <w:position w:val="17"/>
          <w:sz w:val="22"/>
          <w:szCs w:val="22"/>
          <w:highlight w:val="none"/>
          <w:lang w:val="en-US" w:eastAsia="en-US" w:bidi="ar-SA"/>
        </w:rPr>
        <w:t>协商不成时，</w:t>
      </w:r>
      <w:r>
        <w:rPr>
          <w:rFonts w:ascii="宋体" w:hAnsi="宋体" w:eastAsia="宋体" w:cs="宋体"/>
          <w:snapToGrid w:val="0"/>
          <w:color w:val="000000"/>
          <w:spacing w:val="-53"/>
          <w:kern w:val="0"/>
          <w:position w:val="17"/>
          <w:sz w:val="22"/>
          <w:szCs w:val="22"/>
          <w:highlight w:val="none"/>
          <w:lang w:val="en-US" w:eastAsia="en-US" w:bidi="ar-SA"/>
        </w:rPr>
        <w:t xml:space="preserve"> </w:t>
      </w:r>
      <w:r>
        <w:rPr>
          <w:rFonts w:ascii="宋体" w:hAnsi="宋体" w:eastAsia="宋体" w:cs="宋体"/>
          <w:snapToGrid w:val="0"/>
          <w:color w:val="000000"/>
          <w:spacing w:val="-6"/>
          <w:kern w:val="0"/>
          <w:position w:val="17"/>
          <w:sz w:val="22"/>
          <w:szCs w:val="22"/>
          <w:highlight w:val="none"/>
          <w:lang w:val="en-US" w:eastAsia="en-US" w:bidi="ar-SA"/>
        </w:rPr>
        <w:t>任何一方均可请</w:t>
      </w:r>
    </w:p>
    <w:p>
      <w:pPr>
        <w:kinsoku w:val="0"/>
        <w:autoSpaceDE w:val="0"/>
        <w:autoSpaceDN w:val="0"/>
        <w:adjustRightInd w:val="0"/>
        <w:snapToGrid w:val="0"/>
        <w:spacing w:line="222" w:lineRule="auto"/>
        <w:ind w:left="37"/>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1"/>
          <w:kern w:val="0"/>
          <w:sz w:val="22"/>
          <w:szCs w:val="22"/>
          <w:highlight w:val="none"/>
          <w:lang w:val="en-US" w:eastAsia="en-US" w:bidi="ar-SA"/>
        </w:rPr>
        <w:t>采购管理机关调解，调解不成，向甲方所在地人民法院提起诉讼。</w:t>
      </w:r>
    </w:p>
    <w:p>
      <w:pPr>
        <w:kinsoku w:val="0"/>
        <w:autoSpaceDE w:val="0"/>
        <w:autoSpaceDN w:val="0"/>
        <w:adjustRightInd w:val="0"/>
        <w:snapToGrid w:val="0"/>
        <w:spacing w:before="173" w:line="360" w:lineRule="auto"/>
        <w:ind w:left="41" w:right="93" w:firstLine="622"/>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2"/>
          <w:kern w:val="0"/>
          <w:sz w:val="22"/>
          <w:szCs w:val="22"/>
          <w:highlight w:val="none"/>
          <w:lang w:val="en-US" w:eastAsia="en-US" w:bidi="ar-SA"/>
        </w:rPr>
        <w:t>3.乙方在提供产品之前，需先提供给甲方质保书样本及商品商标标识的样本；在供货</w:t>
      </w:r>
      <w:r>
        <w:rPr>
          <w:rFonts w:ascii="宋体" w:hAnsi="宋体" w:eastAsia="宋体" w:cs="宋体"/>
          <w:snapToGrid w:val="0"/>
          <w:color w:val="000000"/>
          <w:spacing w:val="-3"/>
          <w:kern w:val="0"/>
          <w:sz w:val="22"/>
          <w:szCs w:val="22"/>
          <w:highlight w:val="none"/>
          <w:lang w:val="en-US" w:eastAsia="en-US" w:bidi="ar-SA"/>
        </w:rPr>
        <w:t>期间，不得随意改变商标标识，如果必须改变，乙方需提前</w:t>
      </w:r>
      <w:r>
        <w:rPr>
          <w:rFonts w:hint="eastAsia" w:ascii="宋体" w:hAnsi="宋体" w:eastAsia="宋体" w:cs="宋体"/>
          <w:snapToGrid w:val="0"/>
          <w:color w:val="000000"/>
          <w:spacing w:val="-3"/>
          <w:kern w:val="0"/>
          <w:sz w:val="22"/>
          <w:szCs w:val="22"/>
          <w:highlight w:val="none"/>
          <w:lang w:val="en-US" w:eastAsia="zh-CN" w:bidi="ar-SA"/>
        </w:rPr>
        <w:t>10天</w:t>
      </w:r>
      <w:r>
        <w:rPr>
          <w:rFonts w:ascii="宋体" w:hAnsi="宋体" w:eastAsia="宋体" w:cs="宋体"/>
          <w:snapToGrid w:val="0"/>
          <w:color w:val="000000"/>
          <w:spacing w:val="-3"/>
          <w:kern w:val="0"/>
          <w:sz w:val="22"/>
          <w:szCs w:val="22"/>
          <w:highlight w:val="none"/>
          <w:lang w:val="en-US" w:eastAsia="en-US" w:bidi="ar-SA"/>
        </w:rPr>
        <w:t>向甲方报备，并说明原</w:t>
      </w:r>
      <w:r>
        <w:rPr>
          <w:rFonts w:ascii="宋体" w:hAnsi="宋体" w:eastAsia="宋体" w:cs="宋体"/>
          <w:snapToGrid w:val="0"/>
          <w:color w:val="000000"/>
          <w:spacing w:val="-15"/>
          <w:kern w:val="0"/>
          <w:sz w:val="22"/>
          <w:szCs w:val="22"/>
          <w:highlight w:val="none"/>
          <w:lang w:val="en-US" w:eastAsia="en-US" w:bidi="ar-SA"/>
        </w:rPr>
        <w:t>因。</w:t>
      </w:r>
    </w:p>
    <w:p>
      <w:pPr>
        <w:kinsoku w:val="0"/>
        <w:autoSpaceDE w:val="0"/>
        <w:autoSpaceDN w:val="0"/>
        <w:adjustRightInd w:val="0"/>
        <w:snapToGrid w:val="0"/>
        <w:spacing w:before="173" w:line="360" w:lineRule="auto"/>
        <w:ind w:right="93"/>
        <w:jc w:val="left"/>
        <w:textAlignment w:val="baseline"/>
        <w:rPr>
          <w:rFonts w:ascii="宋体" w:hAnsi="宋体" w:eastAsia="宋体" w:cs="宋体"/>
          <w:snapToGrid w:val="0"/>
          <w:color w:val="000000"/>
          <w:spacing w:val="-2"/>
          <w:kern w:val="0"/>
          <w:sz w:val="22"/>
          <w:szCs w:val="22"/>
          <w:highlight w:val="none"/>
          <w:lang w:val="en-US" w:eastAsia="en-US" w:bidi="ar-SA"/>
        </w:rPr>
      </w:pPr>
      <w:r>
        <w:rPr>
          <w:rFonts w:ascii="宋体" w:hAnsi="宋体" w:eastAsia="宋体" w:cs="宋体"/>
          <w:snapToGrid w:val="0"/>
          <w:color w:val="000000"/>
          <w:spacing w:val="1"/>
          <w:kern w:val="0"/>
          <w:sz w:val="22"/>
          <w:szCs w:val="22"/>
          <w:highlight w:val="none"/>
          <w:lang w:val="en-US" w:eastAsia="en-US" w:bidi="ar-SA"/>
          <w14:textOutline w14:w="4441" w14:cap="flat" w14:cmpd="sng">
            <w14:solidFill>
              <w14:srgbClr w14:val="000000"/>
            </w14:solidFill>
            <w14:prstDash w14:val="solid"/>
            <w14:miter w14:val="0"/>
          </w14:textOutline>
        </w:rPr>
        <w:t>第十七条</w:t>
      </w:r>
      <w:r>
        <w:rPr>
          <w:rFonts w:ascii="宋体" w:hAnsi="宋体" w:eastAsia="宋体" w:cs="宋体"/>
          <w:snapToGrid w:val="0"/>
          <w:color w:val="000000"/>
          <w:spacing w:val="1"/>
          <w:kern w:val="0"/>
          <w:sz w:val="22"/>
          <w:szCs w:val="22"/>
          <w:highlight w:val="none"/>
          <w:lang w:val="en-US" w:eastAsia="en-US" w:bidi="ar-SA"/>
        </w:rPr>
        <w:t xml:space="preserve"> 下列关于</w:t>
      </w:r>
      <w:r>
        <w:rPr>
          <w:rFonts w:hint="eastAsia" w:ascii="宋体" w:hAnsi="宋体" w:eastAsia="宋体" w:cs="宋体"/>
          <w:snapToGrid w:val="0"/>
          <w:color w:val="000000"/>
          <w:spacing w:val="1"/>
          <w:kern w:val="0"/>
          <w:sz w:val="22"/>
          <w:szCs w:val="22"/>
          <w:highlight w:val="none"/>
          <w:u w:val="single" w:color="auto"/>
          <w:lang w:val="en-US" w:eastAsia="en-US" w:bidi="ar-SA"/>
        </w:rPr>
        <w:t>安徽交运集团安庆望江车辆磷酸铁锂动力电池更换项目</w:t>
      </w:r>
      <w:r>
        <w:rPr>
          <w:rFonts w:ascii="宋体" w:hAnsi="宋体" w:eastAsia="宋体" w:cs="宋体"/>
          <w:snapToGrid w:val="0"/>
          <w:color w:val="000000"/>
          <w:kern w:val="0"/>
          <w:sz w:val="22"/>
          <w:szCs w:val="22"/>
          <w:highlight w:val="none"/>
          <w:lang w:val="en-US" w:eastAsia="en-US" w:bidi="ar-SA"/>
        </w:rPr>
        <w:t>的招标文件及有关附件是本合同不可分割的组成部分，与本合同具有同等法律效力，</w:t>
      </w:r>
      <w:r>
        <w:rPr>
          <w:rFonts w:ascii="宋体" w:hAnsi="宋体" w:eastAsia="宋体" w:cs="宋体"/>
          <w:snapToGrid w:val="0"/>
          <w:color w:val="000000"/>
          <w:spacing w:val="2"/>
          <w:kern w:val="0"/>
          <w:sz w:val="22"/>
          <w:szCs w:val="22"/>
          <w:highlight w:val="none"/>
          <w:lang w:val="en-US" w:eastAsia="en-US" w:bidi="ar-SA"/>
        </w:rPr>
        <w:t>这些文件包括但不限于：①招标文件；②乙方提供的</w:t>
      </w:r>
      <w:r>
        <w:rPr>
          <w:rFonts w:hint="eastAsia" w:ascii="宋体" w:hAnsi="宋体" w:eastAsia="宋体" w:cs="宋体"/>
          <w:snapToGrid w:val="0"/>
          <w:color w:val="000000"/>
          <w:spacing w:val="2"/>
          <w:kern w:val="0"/>
          <w:sz w:val="22"/>
          <w:szCs w:val="22"/>
          <w:highlight w:val="none"/>
          <w:lang w:val="en-US" w:eastAsia="zh-CN" w:bidi="ar-SA"/>
        </w:rPr>
        <w:t>响应</w:t>
      </w:r>
      <w:r>
        <w:rPr>
          <w:rFonts w:ascii="宋体" w:hAnsi="宋体" w:eastAsia="宋体" w:cs="宋体"/>
          <w:snapToGrid w:val="0"/>
          <w:color w:val="000000"/>
          <w:spacing w:val="2"/>
          <w:kern w:val="0"/>
          <w:sz w:val="22"/>
          <w:szCs w:val="22"/>
          <w:highlight w:val="none"/>
          <w:lang w:val="en-US" w:eastAsia="en-US" w:bidi="ar-SA"/>
        </w:rPr>
        <w:t>文件；③服务承诺；④甲</w:t>
      </w:r>
      <w:r>
        <w:rPr>
          <w:rFonts w:ascii="宋体" w:hAnsi="宋体" w:eastAsia="宋体" w:cs="宋体"/>
          <w:snapToGrid w:val="0"/>
          <w:color w:val="000000"/>
          <w:spacing w:val="1"/>
          <w:kern w:val="0"/>
          <w:sz w:val="22"/>
          <w:szCs w:val="22"/>
          <w:highlight w:val="none"/>
          <w:lang w:val="en-US" w:eastAsia="en-US" w:bidi="ar-SA"/>
        </w:rPr>
        <w:t>乙双方商定的其他文件。以上附件顺序在</w:t>
      </w:r>
      <w:r>
        <w:rPr>
          <w:rFonts w:ascii="宋体" w:hAnsi="宋体" w:eastAsia="宋体" w:cs="宋体"/>
          <w:snapToGrid w:val="0"/>
          <w:color w:val="000000"/>
          <w:spacing w:val="-2"/>
          <w:kern w:val="0"/>
          <w:sz w:val="22"/>
          <w:szCs w:val="22"/>
          <w:highlight w:val="none"/>
          <w:lang w:val="en-US" w:eastAsia="en-US" w:bidi="ar-SA"/>
        </w:rPr>
        <w:t>前的具有优先解释权。</w:t>
      </w:r>
    </w:p>
    <w:p>
      <w:pPr>
        <w:keepNext w:val="0"/>
        <w:keepLines w:val="0"/>
        <w:pageBreakBefore w:val="0"/>
        <w:widowControl/>
        <w:kinsoku w:val="0"/>
        <w:wordWrap/>
        <w:overflowPunct/>
        <w:topLinePunct w:val="0"/>
        <w:autoSpaceDE w:val="0"/>
        <w:autoSpaceDN w:val="0"/>
        <w:bidi w:val="0"/>
        <w:adjustRightInd w:val="0"/>
        <w:snapToGrid w:val="0"/>
        <w:spacing w:before="100" w:line="360" w:lineRule="auto"/>
        <w:ind w:left="40" w:right="91" w:firstLine="624"/>
        <w:jc w:val="left"/>
        <w:textAlignment w:val="baseline"/>
        <w:rPr>
          <w:rFonts w:ascii="宋体" w:hAnsi="宋体" w:eastAsia="宋体" w:cs="宋体"/>
          <w:snapToGrid w:val="0"/>
          <w:color w:val="000000"/>
          <w:spacing w:val="-2"/>
          <w:kern w:val="0"/>
          <w:sz w:val="22"/>
          <w:szCs w:val="22"/>
          <w:highlight w:val="none"/>
          <w:lang w:val="en-US" w:eastAsia="en-US" w:bidi="ar-SA"/>
        </w:rPr>
      </w:pPr>
      <w:r>
        <w:rPr>
          <w:rFonts w:ascii="宋体" w:hAnsi="宋体" w:eastAsia="宋体" w:cs="宋体"/>
          <w:snapToGrid w:val="0"/>
          <w:color w:val="000000"/>
          <w:spacing w:val="-2"/>
          <w:kern w:val="0"/>
          <w:sz w:val="22"/>
          <w:szCs w:val="22"/>
          <w:highlight w:val="none"/>
          <w:lang w:val="en-US" w:eastAsia="en-US" w:bidi="ar-SA"/>
        </w:rPr>
        <w:t>本合同一式</w:t>
      </w:r>
      <w:r>
        <w:rPr>
          <w:rFonts w:hint="eastAsia" w:ascii="宋体" w:hAnsi="宋体" w:eastAsia="宋体" w:cs="宋体"/>
          <w:snapToGrid w:val="0"/>
          <w:color w:val="000000"/>
          <w:spacing w:val="-2"/>
          <w:kern w:val="0"/>
          <w:sz w:val="22"/>
          <w:szCs w:val="22"/>
          <w:highlight w:val="none"/>
          <w:lang w:val="en-US" w:eastAsia="zh-CN" w:bidi="ar-SA"/>
        </w:rPr>
        <w:t>陆</w:t>
      </w:r>
      <w:r>
        <w:rPr>
          <w:rFonts w:ascii="宋体" w:hAnsi="宋体" w:eastAsia="宋体" w:cs="宋体"/>
          <w:snapToGrid w:val="0"/>
          <w:color w:val="000000"/>
          <w:spacing w:val="-2"/>
          <w:kern w:val="0"/>
          <w:sz w:val="22"/>
          <w:szCs w:val="22"/>
          <w:highlight w:val="none"/>
          <w:lang w:val="en-US" w:eastAsia="en-US" w:bidi="ar-SA"/>
        </w:rPr>
        <w:t>份，甲方执</w:t>
      </w:r>
      <w:r>
        <w:rPr>
          <w:rFonts w:hint="eastAsia" w:ascii="宋体" w:hAnsi="宋体" w:eastAsia="宋体" w:cs="宋体"/>
          <w:snapToGrid w:val="0"/>
          <w:color w:val="000000"/>
          <w:spacing w:val="-2"/>
          <w:kern w:val="0"/>
          <w:sz w:val="22"/>
          <w:szCs w:val="22"/>
          <w:highlight w:val="none"/>
          <w:lang w:val="en-US" w:eastAsia="zh-CN" w:bidi="ar-SA"/>
        </w:rPr>
        <w:t>肆</w:t>
      </w:r>
      <w:r>
        <w:rPr>
          <w:rFonts w:ascii="宋体" w:hAnsi="宋体" w:eastAsia="宋体" w:cs="宋体"/>
          <w:snapToGrid w:val="0"/>
          <w:color w:val="000000"/>
          <w:spacing w:val="-2"/>
          <w:kern w:val="0"/>
          <w:sz w:val="22"/>
          <w:szCs w:val="22"/>
          <w:highlight w:val="none"/>
          <w:lang w:val="en-US" w:eastAsia="en-US" w:bidi="ar-SA"/>
        </w:rPr>
        <w:t>份，乙方执贰份， 自双方当事人签字盖章之日起生效。</w:t>
      </w:r>
    </w:p>
    <w:p>
      <w:pPr>
        <w:widowControl/>
        <w:kinsoku w:val="0"/>
        <w:autoSpaceDE w:val="0"/>
        <w:autoSpaceDN w:val="0"/>
        <w:adjustRightInd w:val="0"/>
        <w:snapToGrid w:val="0"/>
        <w:spacing w:before="58" w:line="240" w:lineRule="auto"/>
        <w:jc w:val="left"/>
        <w:textAlignment w:val="baseline"/>
        <w:rPr>
          <w:rFonts w:ascii="Arial" w:hAnsi="Arial" w:eastAsia="Arial" w:cs="Arial"/>
          <w:snapToGrid w:val="0"/>
          <w:color w:val="000000"/>
          <w:kern w:val="0"/>
          <w:sz w:val="22"/>
          <w:szCs w:val="22"/>
          <w:highlight w:val="none"/>
          <w:lang w:eastAsia="en-US"/>
        </w:rPr>
      </w:pPr>
    </w:p>
    <w:p>
      <w:pPr>
        <w:rPr>
          <w:sz w:val="22"/>
          <w:szCs w:val="22"/>
          <w:highlight w:val="none"/>
        </w:rPr>
      </w:pPr>
    </w:p>
    <w:p>
      <w:pPr>
        <w:rPr>
          <w:sz w:val="22"/>
          <w:szCs w:val="22"/>
          <w:highlight w:val="none"/>
        </w:rPr>
      </w:pPr>
    </w:p>
    <w:p>
      <w:pPr>
        <w:rPr>
          <w:sz w:val="22"/>
          <w:szCs w:val="22"/>
          <w:highlight w:val="none"/>
        </w:rPr>
      </w:pPr>
    </w:p>
    <w:p>
      <w:pPr>
        <w:rPr>
          <w:sz w:val="22"/>
          <w:szCs w:val="22"/>
          <w:highlight w:val="none"/>
        </w:rPr>
      </w:pPr>
    </w:p>
    <w:p>
      <w:pPr>
        <w:rPr>
          <w:sz w:val="22"/>
          <w:szCs w:val="22"/>
          <w:highlight w:val="none"/>
        </w:rPr>
        <w:sectPr>
          <w:headerReference r:id="rId4" w:type="default"/>
          <w:footerReference r:id="rId5" w:type="default"/>
          <w:pgSz w:w="11909" w:h="16834"/>
          <w:pgMar w:top="1124" w:right="1114" w:bottom="1262" w:left="1225" w:header="862" w:footer="972" w:gutter="0"/>
          <w:pgNumType w:fmt="decimal"/>
          <w:cols w:equalWidth="0" w:num="1">
            <w:col w:w="9569"/>
          </w:cols>
        </w:sectPr>
      </w:pPr>
    </w:p>
    <w:p>
      <w:pPr>
        <w:kinsoku w:val="0"/>
        <w:autoSpaceDE w:val="0"/>
        <w:autoSpaceDN w:val="0"/>
        <w:adjustRightInd w:val="0"/>
        <w:snapToGrid w:val="0"/>
        <w:spacing w:before="49" w:line="475" w:lineRule="exact"/>
        <w:jc w:val="left"/>
        <w:textAlignment w:val="baseline"/>
        <w:rPr>
          <w:rFonts w:ascii="宋体" w:hAnsi="宋体" w:eastAsia="宋体" w:cs="宋体"/>
          <w:snapToGrid w:val="0"/>
          <w:color w:val="000000"/>
          <w:kern w:val="0"/>
          <w:sz w:val="22"/>
          <w:szCs w:val="22"/>
          <w:highlight w:val="none"/>
          <w:lang w:val="en-US" w:eastAsia="en-US" w:bidi="ar-SA"/>
        </w:rPr>
      </w:pPr>
      <w:r>
        <w:rPr>
          <w:rFonts w:hint="eastAsia" w:ascii="宋体" w:hAnsi="宋体" w:eastAsia="宋体" w:cs="宋体"/>
          <w:snapToGrid w:val="0"/>
          <w:color w:val="000000"/>
          <w:spacing w:val="-3"/>
          <w:kern w:val="0"/>
          <w:position w:val="17"/>
          <w:sz w:val="22"/>
          <w:szCs w:val="22"/>
          <w:highlight w:val="none"/>
          <w:lang w:val="en-US" w:eastAsia="zh-CN" w:bidi="ar-SA"/>
        </w:rPr>
        <w:t>采购</w:t>
      </w:r>
      <w:r>
        <w:rPr>
          <w:rFonts w:ascii="宋体" w:hAnsi="宋体" w:eastAsia="宋体" w:cs="宋体"/>
          <w:snapToGrid w:val="0"/>
          <w:color w:val="000000"/>
          <w:spacing w:val="-3"/>
          <w:kern w:val="0"/>
          <w:position w:val="17"/>
          <w:sz w:val="22"/>
          <w:szCs w:val="22"/>
          <w:highlight w:val="none"/>
          <w:lang w:val="en-US" w:eastAsia="en-US" w:bidi="ar-SA"/>
        </w:rPr>
        <w:t>人（甲方）：</w:t>
      </w:r>
    </w:p>
    <w:p>
      <w:pPr>
        <w:kinsoku w:val="0"/>
        <w:autoSpaceDE w:val="0"/>
        <w:autoSpaceDN w:val="0"/>
        <w:adjustRightInd w:val="0"/>
        <w:snapToGrid w:val="0"/>
        <w:spacing w:before="1" w:line="232" w:lineRule="auto"/>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12"/>
          <w:kern w:val="0"/>
          <w:sz w:val="22"/>
          <w:szCs w:val="22"/>
          <w:highlight w:val="none"/>
          <w:lang w:val="en-US" w:eastAsia="en-US" w:bidi="ar-SA"/>
        </w:rPr>
        <w:t>地址：</w:t>
      </w:r>
    </w:p>
    <w:p>
      <w:pPr>
        <w:keepNext w:val="0"/>
        <w:keepLines w:val="0"/>
        <w:pageBreakBefore w:val="0"/>
        <w:widowControl/>
        <w:kinsoku w:val="0"/>
        <w:wordWrap/>
        <w:overflowPunct/>
        <w:topLinePunct w:val="0"/>
        <w:autoSpaceDE w:val="0"/>
        <w:autoSpaceDN w:val="0"/>
        <w:bidi w:val="0"/>
        <w:adjustRightInd w:val="0"/>
        <w:snapToGrid w:val="0"/>
        <w:spacing w:before="60" w:line="475" w:lineRule="exact"/>
        <w:jc w:val="left"/>
        <w:textAlignment w:val="baseline"/>
        <w:rPr>
          <w:rFonts w:ascii="宋体" w:hAnsi="宋体" w:eastAsia="宋体" w:cs="宋体"/>
          <w:snapToGrid w:val="0"/>
          <w:color w:val="000000"/>
          <w:spacing w:val="-3"/>
          <w:kern w:val="0"/>
          <w:position w:val="17"/>
          <w:sz w:val="22"/>
          <w:szCs w:val="22"/>
          <w:highlight w:val="none"/>
          <w:lang w:val="en-US" w:eastAsia="en-US" w:bidi="ar-SA"/>
        </w:rPr>
      </w:pPr>
      <w:r>
        <w:rPr>
          <w:rFonts w:ascii="宋体" w:hAnsi="宋体" w:eastAsia="宋体" w:cs="宋体"/>
          <w:snapToGrid w:val="0"/>
          <w:color w:val="000000"/>
          <w:spacing w:val="-3"/>
          <w:kern w:val="0"/>
          <w:position w:val="17"/>
          <w:sz w:val="22"/>
          <w:szCs w:val="22"/>
          <w:highlight w:val="none"/>
          <w:lang w:val="en-US" w:eastAsia="en-US" w:bidi="ar-SA"/>
        </w:rPr>
        <w:t>法定代表人或其委托代理人：（签字</w:t>
      </w:r>
      <w:r>
        <w:rPr>
          <w:rFonts w:hint="eastAsia" w:ascii="宋体" w:hAnsi="宋体" w:eastAsia="宋体" w:cs="宋体"/>
          <w:snapToGrid w:val="0"/>
          <w:color w:val="000000"/>
          <w:spacing w:val="-3"/>
          <w:kern w:val="0"/>
          <w:position w:val="17"/>
          <w:sz w:val="22"/>
          <w:szCs w:val="22"/>
          <w:highlight w:val="none"/>
          <w:lang w:val="en-US" w:eastAsia="zh-CN" w:bidi="ar-SA"/>
        </w:rPr>
        <w:t>或盖章</w:t>
      </w:r>
      <w:r>
        <w:rPr>
          <w:rFonts w:ascii="宋体" w:hAnsi="宋体" w:eastAsia="宋体" w:cs="宋体"/>
          <w:snapToGrid w:val="0"/>
          <w:color w:val="000000"/>
          <w:spacing w:val="-3"/>
          <w:kern w:val="0"/>
          <w:position w:val="17"/>
          <w:sz w:val="22"/>
          <w:szCs w:val="22"/>
          <w:highlight w:val="none"/>
          <w:lang w:val="en-US" w:eastAsia="en-US" w:bidi="ar-SA"/>
        </w:rPr>
        <w:t>）</w:t>
      </w:r>
    </w:p>
    <w:p>
      <w:pPr>
        <w:keepNext w:val="0"/>
        <w:keepLines w:val="0"/>
        <w:pageBreakBefore w:val="0"/>
        <w:widowControl/>
        <w:kinsoku w:val="0"/>
        <w:wordWrap/>
        <w:overflowPunct/>
        <w:topLinePunct w:val="0"/>
        <w:autoSpaceDE w:val="0"/>
        <w:autoSpaceDN w:val="0"/>
        <w:bidi w:val="0"/>
        <w:adjustRightInd w:val="0"/>
        <w:snapToGrid w:val="0"/>
        <w:spacing w:before="60" w:line="225" w:lineRule="auto"/>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19"/>
          <w:kern w:val="0"/>
          <w:sz w:val="22"/>
          <w:szCs w:val="22"/>
          <w:highlight w:val="none"/>
          <w:lang w:val="en-US" w:eastAsia="en-US" w:bidi="ar-SA"/>
        </w:rPr>
        <w:t>电话：</w:t>
      </w:r>
    </w:p>
    <w:p>
      <w:pPr>
        <w:kinsoku w:val="0"/>
        <w:autoSpaceDE w:val="0"/>
        <w:autoSpaceDN w:val="0"/>
        <w:adjustRightInd w:val="0"/>
        <w:snapToGrid w:val="0"/>
        <w:spacing w:before="168" w:line="476" w:lineRule="exact"/>
        <w:jc w:val="left"/>
        <w:textAlignment w:val="baseline"/>
        <w:rPr>
          <w:rFonts w:ascii="宋体" w:hAnsi="宋体" w:eastAsia="宋体" w:cs="宋体"/>
          <w:snapToGrid w:val="0"/>
          <w:color w:val="000000"/>
          <w:spacing w:val="-7"/>
          <w:kern w:val="0"/>
          <w:position w:val="17"/>
          <w:sz w:val="22"/>
          <w:szCs w:val="22"/>
          <w:highlight w:val="none"/>
          <w:lang w:val="en-US" w:eastAsia="en-US" w:bidi="ar-SA"/>
        </w:rPr>
      </w:pPr>
      <w:r>
        <w:rPr>
          <w:rFonts w:ascii="宋体" w:hAnsi="宋体" w:eastAsia="宋体" w:cs="宋体"/>
          <w:snapToGrid w:val="0"/>
          <w:color w:val="000000"/>
          <w:spacing w:val="-7"/>
          <w:kern w:val="0"/>
          <w:position w:val="17"/>
          <w:sz w:val="22"/>
          <w:szCs w:val="22"/>
          <w:highlight w:val="none"/>
          <w:lang w:val="en-US" w:eastAsia="en-US" w:bidi="ar-SA"/>
        </w:rPr>
        <w:t>开户银行：</w:t>
      </w:r>
    </w:p>
    <w:p>
      <w:pPr>
        <w:widowControl/>
        <w:kinsoku w:val="0"/>
        <w:autoSpaceDE w:val="0"/>
        <w:autoSpaceDN w:val="0"/>
        <w:adjustRightInd w:val="0"/>
        <w:snapToGrid w:val="0"/>
        <w:spacing w:line="14" w:lineRule="auto"/>
        <w:jc w:val="left"/>
        <w:textAlignment w:val="baseline"/>
        <w:rPr>
          <w:rFonts w:ascii="Arial" w:hAnsi="Arial" w:eastAsia="Arial" w:cs="Arial"/>
          <w:snapToGrid w:val="0"/>
          <w:color w:val="000000"/>
          <w:kern w:val="0"/>
          <w:sz w:val="22"/>
          <w:szCs w:val="22"/>
          <w:highlight w:val="none"/>
          <w:lang w:eastAsia="en-US"/>
        </w:rPr>
      </w:pPr>
      <w:r>
        <w:rPr>
          <w:rFonts w:ascii="Arial" w:hAnsi="Arial" w:eastAsia="Arial" w:cs="Arial"/>
          <w:snapToGrid w:val="0"/>
          <w:color w:val="000000"/>
          <w:kern w:val="0"/>
          <w:sz w:val="22"/>
          <w:szCs w:val="22"/>
          <w:highlight w:val="none"/>
          <w:lang w:eastAsia="en-US"/>
        </w:rPr>
        <w:br w:type="column"/>
      </w:r>
    </w:p>
    <w:p>
      <w:pPr>
        <w:kinsoku w:val="0"/>
        <w:autoSpaceDE w:val="0"/>
        <w:autoSpaceDN w:val="0"/>
        <w:adjustRightInd w:val="0"/>
        <w:snapToGrid w:val="0"/>
        <w:spacing w:before="48" w:line="222" w:lineRule="auto"/>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4"/>
          <w:kern w:val="0"/>
          <w:sz w:val="22"/>
          <w:szCs w:val="22"/>
          <w:highlight w:val="none"/>
          <w:lang w:val="en-US" w:eastAsia="en-US" w:bidi="ar-SA"/>
        </w:rPr>
        <w:t>（公章）</w:t>
      </w:r>
    </w:p>
    <w:p>
      <w:pPr>
        <w:widowControl/>
        <w:kinsoku w:val="0"/>
        <w:autoSpaceDE w:val="0"/>
        <w:autoSpaceDN w:val="0"/>
        <w:adjustRightInd w:val="0"/>
        <w:snapToGrid w:val="0"/>
        <w:spacing w:line="14" w:lineRule="auto"/>
        <w:jc w:val="left"/>
        <w:textAlignment w:val="baseline"/>
        <w:rPr>
          <w:rFonts w:ascii="Arial" w:hAnsi="Arial" w:eastAsia="Arial" w:cs="Arial"/>
          <w:snapToGrid w:val="0"/>
          <w:color w:val="000000"/>
          <w:kern w:val="0"/>
          <w:sz w:val="22"/>
          <w:szCs w:val="22"/>
          <w:highlight w:val="none"/>
          <w:lang w:eastAsia="en-US"/>
        </w:rPr>
      </w:pPr>
      <w:r>
        <w:rPr>
          <w:rFonts w:ascii="Arial" w:hAnsi="Arial" w:eastAsia="Arial" w:cs="Arial"/>
          <w:snapToGrid w:val="0"/>
          <w:color w:val="000000"/>
          <w:kern w:val="0"/>
          <w:sz w:val="22"/>
          <w:szCs w:val="22"/>
          <w:highlight w:val="none"/>
          <w:lang w:eastAsia="en-US"/>
        </w:rPr>
        <w:br w:type="column"/>
      </w:r>
    </w:p>
    <w:p>
      <w:pPr>
        <w:kinsoku w:val="0"/>
        <w:autoSpaceDE w:val="0"/>
        <w:autoSpaceDN w:val="0"/>
        <w:adjustRightInd w:val="0"/>
        <w:snapToGrid w:val="0"/>
        <w:spacing w:before="47" w:line="476" w:lineRule="exact"/>
        <w:jc w:val="left"/>
        <w:textAlignment w:val="baseline"/>
        <w:rPr>
          <w:rFonts w:ascii="宋体" w:hAnsi="宋体" w:eastAsia="宋体" w:cs="宋体"/>
          <w:snapToGrid w:val="0"/>
          <w:color w:val="000000"/>
          <w:kern w:val="0"/>
          <w:sz w:val="22"/>
          <w:szCs w:val="22"/>
          <w:highlight w:val="none"/>
          <w:lang w:val="en-US" w:eastAsia="en-US" w:bidi="ar-SA"/>
        </w:rPr>
      </w:pPr>
      <w:r>
        <w:rPr>
          <w:rFonts w:hint="eastAsia" w:ascii="宋体" w:hAnsi="宋体" w:eastAsia="宋体" w:cs="宋体"/>
          <w:snapToGrid w:val="0"/>
          <w:color w:val="000000"/>
          <w:spacing w:val="-7"/>
          <w:kern w:val="0"/>
          <w:position w:val="17"/>
          <w:sz w:val="22"/>
          <w:szCs w:val="22"/>
          <w:highlight w:val="none"/>
          <w:lang w:val="en-US" w:eastAsia="zh-CN" w:bidi="ar-SA"/>
        </w:rPr>
        <w:t>成交</w:t>
      </w:r>
      <w:r>
        <w:rPr>
          <w:rFonts w:ascii="宋体" w:hAnsi="宋体" w:eastAsia="宋体" w:cs="宋体"/>
          <w:snapToGrid w:val="0"/>
          <w:color w:val="000000"/>
          <w:spacing w:val="-7"/>
          <w:kern w:val="0"/>
          <w:position w:val="17"/>
          <w:sz w:val="22"/>
          <w:szCs w:val="22"/>
          <w:highlight w:val="none"/>
          <w:lang w:val="en-US" w:eastAsia="en-US" w:bidi="ar-SA"/>
        </w:rPr>
        <w:t>人（乙方</w:t>
      </w:r>
      <w:r>
        <w:rPr>
          <w:rFonts w:ascii="宋体" w:hAnsi="宋体" w:eastAsia="宋体" w:cs="宋体"/>
          <w:snapToGrid w:val="0"/>
          <w:color w:val="000000"/>
          <w:spacing w:val="-2"/>
          <w:kern w:val="0"/>
          <w:position w:val="17"/>
          <w:sz w:val="22"/>
          <w:szCs w:val="22"/>
          <w:highlight w:val="none"/>
          <w:lang w:val="en-US" w:eastAsia="en-US" w:bidi="ar-SA"/>
        </w:rPr>
        <w:t>）：</w:t>
      </w:r>
    </w:p>
    <w:p>
      <w:pPr>
        <w:kinsoku w:val="0"/>
        <w:autoSpaceDE w:val="0"/>
        <w:autoSpaceDN w:val="0"/>
        <w:adjustRightInd w:val="0"/>
        <w:snapToGrid w:val="0"/>
        <w:spacing w:before="1" w:line="232" w:lineRule="auto"/>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12"/>
          <w:kern w:val="0"/>
          <w:sz w:val="22"/>
          <w:szCs w:val="22"/>
          <w:highlight w:val="none"/>
          <w:lang w:val="en-US" w:eastAsia="en-US" w:bidi="ar-SA"/>
        </w:rPr>
        <w:t>地址：</w:t>
      </w:r>
    </w:p>
    <w:p>
      <w:pPr>
        <w:keepNext w:val="0"/>
        <w:keepLines w:val="0"/>
        <w:pageBreakBefore w:val="0"/>
        <w:widowControl/>
        <w:kinsoku w:val="0"/>
        <w:wordWrap/>
        <w:overflowPunct/>
        <w:topLinePunct w:val="0"/>
        <w:autoSpaceDE w:val="0"/>
        <w:autoSpaceDN w:val="0"/>
        <w:bidi w:val="0"/>
        <w:adjustRightInd w:val="0"/>
        <w:snapToGrid w:val="0"/>
        <w:spacing w:before="60" w:line="475" w:lineRule="exact"/>
        <w:jc w:val="left"/>
        <w:textAlignment w:val="baseline"/>
        <w:rPr>
          <w:rFonts w:ascii="宋体" w:hAnsi="宋体" w:eastAsia="宋体" w:cs="宋体"/>
          <w:snapToGrid w:val="0"/>
          <w:color w:val="000000"/>
          <w:spacing w:val="-3"/>
          <w:kern w:val="0"/>
          <w:position w:val="17"/>
          <w:sz w:val="22"/>
          <w:szCs w:val="22"/>
          <w:highlight w:val="none"/>
          <w:lang w:val="en-US" w:eastAsia="en-US" w:bidi="ar-SA"/>
        </w:rPr>
      </w:pPr>
      <w:r>
        <w:rPr>
          <w:rFonts w:ascii="宋体" w:hAnsi="宋体" w:eastAsia="宋体" w:cs="宋体"/>
          <w:snapToGrid w:val="0"/>
          <w:color w:val="000000"/>
          <w:spacing w:val="-3"/>
          <w:kern w:val="0"/>
          <w:position w:val="17"/>
          <w:sz w:val="22"/>
          <w:szCs w:val="22"/>
          <w:highlight w:val="none"/>
          <w:lang w:val="en-US" w:eastAsia="en-US" w:bidi="ar-SA"/>
        </w:rPr>
        <w:t>法定代表人或其委托代理人：（签字</w:t>
      </w:r>
      <w:r>
        <w:rPr>
          <w:rFonts w:hint="eastAsia" w:ascii="宋体" w:hAnsi="宋体" w:eastAsia="宋体" w:cs="宋体"/>
          <w:snapToGrid w:val="0"/>
          <w:color w:val="000000"/>
          <w:spacing w:val="-3"/>
          <w:kern w:val="0"/>
          <w:position w:val="17"/>
          <w:sz w:val="22"/>
          <w:szCs w:val="22"/>
          <w:highlight w:val="none"/>
          <w:lang w:val="en-US" w:eastAsia="zh-CN" w:bidi="ar-SA"/>
        </w:rPr>
        <w:t>或盖章</w:t>
      </w:r>
      <w:r>
        <w:rPr>
          <w:rFonts w:ascii="宋体" w:hAnsi="宋体" w:eastAsia="宋体" w:cs="宋体"/>
          <w:snapToGrid w:val="0"/>
          <w:color w:val="000000"/>
          <w:spacing w:val="-3"/>
          <w:kern w:val="0"/>
          <w:position w:val="17"/>
          <w:sz w:val="22"/>
          <w:szCs w:val="22"/>
          <w:highlight w:val="none"/>
          <w:lang w:val="en-US" w:eastAsia="en-US" w:bidi="ar-SA"/>
        </w:rPr>
        <w:t>）</w:t>
      </w:r>
    </w:p>
    <w:p>
      <w:pPr>
        <w:keepNext w:val="0"/>
        <w:keepLines w:val="0"/>
        <w:pageBreakBefore w:val="0"/>
        <w:widowControl/>
        <w:kinsoku w:val="0"/>
        <w:wordWrap/>
        <w:overflowPunct/>
        <w:topLinePunct w:val="0"/>
        <w:autoSpaceDE w:val="0"/>
        <w:autoSpaceDN w:val="0"/>
        <w:bidi w:val="0"/>
        <w:adjustRightInd w:val="0"/>
        <w:snapToGrid w:val="0"/>
        <w:spacing w:before="60" w:line="225" w:lineRule="auto"/>
        <w:ind w:left="29"/>
        <w:jc w:val="left"/>
        <w:textAlignment w:val="baseline"/>
        <w:rPr>
          <w:rFonts w:ascii="宋体" w:hAnsi="宋体" w:eastAsia="宋体" w:cs="宋体"/>
          <w:snapToGrid w:val="0"/>
          <w:color w:val="000000"/>
          <w:spacing w:val="-3"/>
          <w:kern w:val="0"/>
          <w:position w:val="17"/>
          <w:sz w:val="22"/>
          <w:szCs w:val="22"/>
          <w:highlight w:val="none"/>
          <w:lang w:val="en-US" w:eastAsia="en-US" w:bidi="ar-SA"/>
        </w:rPr>
      </w:pPr>
      <w:r>
        <w:rPr>
          <w:rFonts w:ascii="宋体" w:hAnsi="宋体" w:eastAsia="宋体" w:cs="宋体"/>
          <w:snapToGrid w:val="0"/>
          <w:color w:val="000000"/>
          <w:spacing w:val="-3"/>
          <w:kern w:val="0"/>
          <w:position w:val="17"/>
          <w:sz w:val="22"/>
          <w:szCs w:val="22"/>
          <w:highlight w:val="none"/>
          <w:lang w:val="en-US" w:eastAsia="en-US" w:bidi="ar-SA"/>
        </w:rPr>
        <w:t>电话：</w:t>
      </w:r>
    </w:p>
    <w:p>
      <w:pPr>
        <w:kinsoku w:val="0"/>
        <w:autoSpaceDE w:val="0"/>
        <w:autoSpaceDN w:val="0"/>
        <w:adjustRightInd w:val="0"/>
        <w:snapToGrid w:val="0"/>
        <w:spacing w:before="48" w:line="222" w:lineRule="auto"/>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3"/>
          <w:kern w:val="0"/>
          <w:position w:val="17"/>
          <w:sz w:val="22"/>
          <w:szCs w:val="22"/>
          <w:highlight w:val="none"/>
          <w:lang w:val="en-US" w:eastAsia="en-US" w:bidi="ar-SA"/>
        </w:rPr>
        <w:t>开户银行：</w:t>
      </w:r>
      <w:r>
        <w:rPr>
          <w:rFonts w:ascii="宋体" w:hAnsi="宋体" w:eastAsia="宋体" w:cs="宋体"/>
          <w:snapToGrid w:val="0"/>
          <w:color w:val="000000"/>
          <w:spacing w:val="-3"/>
          <w:kern w:val="0"/>
          <w:position w:val="17"/>
          <w:sz w:val="22"/>
          <w:szCs w:val="22"/>
          <w:highlight w:val="none"/>
          <w:lang w:val="en-US" w:eastAsia="en-US" w:bidi="ar-SA"/>
        </w:rPr>
        <w:br w:type="column"/>
      </w:r>
      <w:r>
        <w:rPr>
          <w:rFonts w:ascii="宋体" w:hAnsi="宋体" w:eastAsia="宋体" w:cs="宋体"/>
          <w:snapToGrid w:val="0"/>
          <w:color w:val="000000"/>
          <w:spacing w:val="-4"/>
          <w:kern w:val="0"/>
          <w:sz w:val="22"/>
          <w:szCs w:val="22"/>
          <w:highlight w:val="none"/>
          <w:lang w:val="en-US" w:eastAsia="en-US" w:bidi="ar-SA"/>
        </w:rPr>
        <w:t>（公章）</w:t>
      </w:r>
    </w:p>
    <w:p>
      <w:pPr>
        <w:kinsoku w:val="0"/>
        <w:autoSpaceDE w:val="0"/>
        <w:autoSpaceDN w:val="0"/>
        <w:adjustRightInd w:val="0"/>
        <w:snapToGrid w:val="0"/>
        <w:spacing w:before="168" w:line="476" w:lineRule="exact"/>
        <w:ind w:left="1"/>
        <w:jc w:val="left"/>
        <w:textAlignment w:val="baseline"/>
        <w:rPr>
          <w:rFonts w:ascii="宋体" w:hAnsi="宋体" w:eastAsia="宋体" w:cs="宋体"/>
          <w:snapToGrid w:val="0"/>
          <w:color w:val="000000"/>
          <w:spacing w:val="-3"/>
          <w:kern w:val="0"/>
          <w:position w:val="17"/>
          <w:sz w:val="22"/>
          <w:szCs w:val="22"/>
          <w:highlight w:val="none"/>
          <w:lang w:val="en-US" w:eastAsia="en-US" w:bidi="ar-SA"/>
        </w:rPr>
      </w:pPr>
    </w:p>
    <w:p>
      <w:pPr>
        <w:spacing w:line="222" w:lineRule="auto"/>
        <w:rPr>
          <w:sz w:val="22"/>
          <w:szCs w:val="22"/>
          <w:highlight w:val="none"/>
        </w:rPr>
        <w:sectPr>
          <w:type w:val="continuous"/>
          <w:pgSz w:w="11909" w:h="16834"/>
          <w:pgMar w:top="1124" w:right="1114" w:bottom="1262" w:left="1225" w:header="862" w:footer="972" w:gutter="0"/>
          <w:pgNumType w:fmt="decimal"/>
          <w:cols w:equalWidth="0" w:num="4">
            <w:col w:w="2975" w:space="100"/>
            <w:col w:w="1923" w:space="100"/>
            <w:col w:w="2564" w:space="100"/>
            <w:col w:w="1809"/>
          </w:cols>
        </w:sectPr>
      </w:pPr>
    </w:p>
    <w:p>
      <w:pPr>
        <w:kinsoku w:val="0"/>
        <w:autoSpaceDE w:val="0"/>
        <w:autoSpaceDN w:val="0"/>
        <w:adjustRightInd w:val="0"/>
        <w:snapToGrid w:val="0"/>
        <w:spacing w:before="217" w:line="188" w:lineRule="auto"/>
        <w:ind w:left="875"/>
        <w:jc w:val="left"/>
        <w:textAlignment w:val="baseline"/>
        <w:rPr>
          <w:rFonts w:ascii="宋体" w:hAnsi="宋体" w:eastAsia="宋体" w:cs="宋体"/>
          <w:snapToGrid w:val="0"/>
          <w:color w:val="000000"/>
          <w:kern w:val="0"/>
          <w:sz w:val="22"/>
          <w:szCs w:val="22"/>
          <w:highlight w:val="none"/>
          <w:lang w:val="en-US" w:eastAsia="en-US" w:bidi="ar-SA"/>
        </w:rPr>
      </w:pPr>
      <w:r>
        <w:rPr>
          <w:rFonts w:ascii="宋体" w:hAnsi="宋体" w:eastAsia="宋体" w:cs="宋体"/>
          <w:snapToGrid w:val="0"/>
          <w:color w:val="000000"/>
          <w:spacing w:val="-14"/>
          <w:kern w:val="0"/>
          <w:sz w:val="22"/>
          <w:szCs w:val="22"/>
          <w:highlight w:val="none"/>
          <w:lang w:val="en-US" w:eastAsia="en-US" w:bidi="ar-SA"/>
        </w:rPr>
        <w:t>年</w:t>
      </w:r>
      <w:r>
        <w:rPr>
          <w:rFonts w:ascii="宋体" w:hAnsi="宋体" w:eastAsia="宋体" w:cs="宋体"/>
          <w:snapToGrid w:val="0"/>
          <w:color w:val="000000"/>
          <w:spacing w:val="4"/>
          <w:kern w:val="0"/>
          <w:sz w:val="22"/>
          <w:szCs w:val="22"/>
          <w:highlight w:val="none"/>
          <w:lang w:val="en-US" w:eastAsia="en-US" w:bidi="ar-SA"/>
        </w:rPr>
        <w:t xml:space="preserve">     </w:t>
      </w:r>
      <w:r>
        <w:rPr>
          <w:rFonts w:ascii="宋体" w:hAnsi="宋体" w:eastAsia="宋体" w:cs="宋体"/>
          <w:snapToGrid w:val="0"/>
          <w:color w:val="000000"/>
          <w:spacing w:val="-14"/>
          <w:kern w:val="0"/>
          <w:sz w:val="22"/>
          <w:szCs w:val="22"/>
          <w:highlight w:val="none"/>
          <w:lang w:val="en-US" w:eastAsia="en-US" w:bidi="ar-SA"/>
        </w:rPr>
        <w:t>月</w:t>
      </w:r>
      <w:r>
        <w:rPr>
          <w:rFonts w:ascii="宋体" w:hAnsi="宋体" w:eastAsia="宋体" w:cs="宋体"/>
          <w:snapToGrid w:val="0"/>
          <w:color w:val="000000"/>
          <w:spacing w:val="13"/>
          <w:kern w:val="0"/>
          <w:sz w:val="22"/>
          <w:szCs w:val="22"/>
          <w:highlight w:val="none"/>
          <w:lang w:val="en-US" w:eastAsia="en-US" w:bidi="ar-SA"/>
        </w:rPr>
        <w:t xml:space="preserve">    </w:t>
      </w:r>
      <w:r>
        <w:rPr>
          <w:rFonts w:ascii="宋体" w:hAnsi="宋体" w:eastAsia="宋体" w:cs="宋体"/>
          <w:snapToGrid w:val="0"/>
          <w:color w:val="000000"/>
          <w:spacing w:val="-14"/>
          <w:kern w:val="0"/>
          <w:sz w:val="22"/>
          <w:szCs w:val="22"/>
          <w:highlight w:val="none"/>
          <w:lang w:val="en-US" w:eastAsia="en-US" w:bidi="ar-SA"/>
        </w:rPr>
        <w:t>日</w:t>
      </w:r>
      <w:r>
        <w:rPr>
          <w:rFonts w:ascii="宋体" w:hAnsi="宋体" w:eastAsia="宋体" w:cs="宋体"/>
          <w:snapToGrid w:val="0"/>
          <w:color w:val="000000"/>
          <w:kern w:val="0"/>
          <w:sz w:val="22"/>
          <w:szCs w:val="22"/>
          <w:highlight w:val="none"/>
          <w:lang w:val="en-US" w:eastAsia="en-US" w:bidi="ar-SA"/>
        </w:rPr>
        <w:t xml:space="preserve">                      </w:t>
      </w:r>
      <w:r>
        <w:rPr>
          <w:rFonts w:ascii="宋体" w:hAnsi="宋体" w:eastAsia="宋体" w:cs="宋体"/>
          <w:snapToGrid w:val="0"/>
          <w:color w:val="000000"/>
          <w:spacing w:val="-14"/>
          <w:kern w:val="0"/>
          <w:sz w:val="22"/>
          <w:szCs w:val="22"/>
          <w:highlight w:val="none"/>
          <w:lang w:val="en-US" w:eastAsia="en-US" w:bidi="ar-SA"/>
        </w:rPr>
        <w:t>年</w:t>
      </w:r>
      <w:r>
        <w:rPr>
          <w:rFonts w:ascii="宋体" w:hAnsi="宋体" w:eastAsia="宋体" w:cs="宋体"/>
          <w:snapToGrid w:val="0"/>
          <w:color w:val="000000"/>
          <w:spacing w:val="5"/>
          <w:kern w:val="0"/>
          <w:sz w:val="22"/>
          <w:szCs w:val="22"/>
          <w:highlight w:val="none"/>
          <w:lang w:val="en-US" w:eastAsia="en-US" w:bidi="ar-SA"/>
        </w:rPr>
        <w:t xml:space="preserve">    </w:t>
      </w:r>
      <w:r>
        <w:rPr>
          <w:rFonts w:ascii="宋体" w:hAnsi="宋体" w:eastAsia="宋体" w:cs="宋体"/>
          <w:snapToGrid w:val="0"/>
          <w:color w:val="000000"/>
          <w:spacing w:val="-14"/>
          <w:kern w:val="0"/>
          <w:sz w:val="22"/>
          <w:szCs w:val="22"/>
          <w:highlight w:val="none"/>
          <w:lang w:val="en-US" w:eastAsia="en-US" w:bidi="ar-SA"/>
        </w:rPr>
        <w:t>月</w:t>
      </w:r>
      <w:r>
        <w:rPr>
          <w:rFonts w:ascii="宋体" w:hAnsi="宋体" w:eastAsia="宋体" w:cs="宋体"/>
          <w:snapToGrid w:val="0"/>
          <w:color w:val="000000"/>
          <w:spacing w:val="12"/>
          <w:kern w:val="0"/>
          <w:sz w:val="22"/>
          <w:szCs w:val="22"/>
          <w:highlight w:val="none"/>
          <w:lang w:val="en-US" w:eastAsia="en-US" w:bidi="ar-SA"/>
        </w:rPr>
        <w:t xml:space="preserve">    </w:t>
      </w:r>
      <w:r>
        <w:rPr>
          <w:rFonts w:ascii="宋体" w:hAnsi="宋体" w:eastAsia="宋体" w:cs="宋体"/>
          <w:snapToGrid w:val="0"/>
          <w:color w:val="000000"/>
          <w:spacing w:val="-14"/>
          <w:kern w:val="0"/>
          <w:sz w:val="22"/>
          <w:szCs w:val="22"/>
          <w:highlight w:val="none"/>
          <w:lang w:val="en-US" w:eastAsia="en-US" w:bidi="ar-SA"/>
        </w:rPr>
        <w:t>日</w:t>
      </w:r>
    </w:p>
    <w:p>
      <w:pPr>
        <w:spacing w:line="188" w:lineRule="auto"/>
        <w:rPr>
          <w:sz w:val="22"/>
          <w:szCs w:val="22"/>
          <w:highlight w:val="none"/>
        </w:rPr>
        <w:sectPr>
          <w:type w:val="continuous"/>
          <w:pgSz w:w="11909" w:h="16834"/>
          <w:pgMar w:top="1124" w:right="1114" w:bottom="1262" w:left="1225" w:header="862" w:footer="972" w:gutter="0"/>
          <w:pgNumType w:fmt="decimal"/>
          <w:cols w:equalWidth="0" w:num="1">
            <w:col w:w="9569"/>
          </w:cols>
        </w:sectPr>
      </w:pPr>
    </w:p>
    <w:p>
      <w:pPr>
        <w:pStyle w:val="2"/>
        <w:numPr>
          <w:ilvl w:val="0"/>
          <w:numId w:val="4"/>
        </w:numPr>
        <w:spacing w:before="312" w:after="312"/>
        <w:rPr>
          <w:rFonts w:ascii="Times New Roman" w:hAnsi="Times New Roman" w:eastAsia="宋体" w:cs="Times New Roman"/>
          <w:highlight w:val="none"/>
        </w:rPr>
      </w:pPr>
      <w:r>
        <w:rPr>
          <w:rFonts w:hint="eastAsia" w:ascii="Times New Roman" w:hAnsi="Times New Roman" w:eastAsia="宋体" w:cs="Times New Roman"/>
          <w:highlight w:val="none"/>
          <w:lang w:val="en-US" w:eastAsia="zh-CN"/>
        </w:rPr>
        <w:t xml:space="preserve"> </w:t>
      </w:r>
      <w:r>
        <w:rPr>
          <w:rFonts w:ascii="Times New Roman" w:hAnsi="Times New Roman" w:eastAsia="宋体" w:cs="Times New Roman"/>
          <w:highlight w:val="none"/>
        </w:rPr>
        <w:t>采购需求及清单</w:t>
      </w:r>
    </w:p>
    <w:p>
      <w:pPr>
        <w:adjustRightInd w:val="0"/>
        <w:snapToGrid w:val="0"/>
        <w:spacing w:line="360" w:lineRule="auto"/>
        <w:ind w:firstLine="420" w:firstLineChars="200"/>
        <w:textAlignment w:val="baseline"/>
        <w:rPr>
          <w:rFonts w:hint="eastAsia" w:ascii="Times New Roman" w:hAnsi="Times New Roman" w:eastAsia="宋体" w:cs="Times New Roman"/>
          <w:szCs w:val="22"/>
          <w:highlight w:val="none"/>
        </w:rPr>
      </w:pPr>
      <w:r>
        <w:rPr>
          <w:rFonts w:hint="eastAsia" w:ascii="Times New Roman" w:hAnsi="Times New Roman" w:eastAsia="宋体" w:cs="Times New Roman"/>
          <w:szCs w:val="22"/>
          <w:highlight w:val="none"/>
        </w:rPr>
        <w:t>安徽交运集团安庆汽运有限公司望江城市公交分公司现有新能源公交客运车辆</w:t>
      </w:r>
      <w:r>
        <w:rPr>
          <w:rFonts w:hint="eastAsia" w:ascii="Times New Roman" w:hAnsi="Times New Roman" w:eastAsia="宋体" w:cs="Times New Roman"/>
          <w:szCs w:val="22"/>
          <w:highlight w:val="none"/>
          <w:lang w:val="en-US" w:eastAsia="zh-CN"/>
        </w:rPr>
        <w:t>2</w:t>
      </w:r>
      <w:r>
        <w:rPr>
          <w:rFonts w:hint="eastAsia" w:ascii="Times New Roman" w:hAnsi="Times New Roman" w:eastAsia="宋体" w:cs="Times New Roman"/>
          <w:szCs w:val="22"/>
          <w:highlight w:val="none"/>
        </w:rPr>
        <w:t>0 辆(安达尔客车8.1米型 ) ，拟采购磷酸铁锂动力电池组 (不得采用梯次电芯) 及相关组件对车辆原电池及相关组件进行更换，包括但不限于编制电池更换方案、车辆原电池的拆除、新电池的采购与安装、系统调试与试运行、产品维修保养以及相关配套服务等。</w:t>
      </w:r>
    </w:p>
    <w:p>
      <w:pPr>
        <w:adjustRightInd w:val="0"/>
        <w:snapToGrid w:val="0"/>
        <w:spacing w:line="360" w:lineRule="auto"/>
        <w:ind w:firstLine="420" w:firstLineChars="200"/>
        <w:textAlignment w:val="baseline"/>
        <w:rPr>
          <w:rFonts w:hint="eastAsia" w:ascii="Times New Roman" w:hAnsi="Times New Roman" w:eastAsia="宋体" w:cs="Times New Roman"/>
          <w:szCs w:val="22"/>
          <w:highlight w:val="none"/>
        </w:rPr>
      </w:pPr>
      <w:r>
        <w:rPr>
          <w:rFonts w:hint="eastAsia" w:ascii="Times New Roman" w:hAnsi="Times New Roman" w:eastAsia="宋体" w:cs="Times New Roman"/>
          <w:szCs w:val="22"/>
          <w:highlight w:val="none"/>
          <w:lang w:val="en-US" w:eastAsia="zh-CN"/>
        </w:rPr>
        <w:t>响应</w:t>
      </w:r>
      <w:r>
        <w:rPr>
          <w:rFonts w:hint="eastAsia" w:ascii="Times New Roman" w:hAnsi="Times New Roman" w:eastAsia="宋体" w:cs="Times New Roman"/>
          <w:szCs w:val="22"/>
          <w:highlight w:val="none"/>
          <w:lang w:eastAsia="zh-CN"/>
        </w:rPr>
        <w:t>人</w:t>
      </w:r>
      <w:r>
        <w:rPr>
          <w:rFonts w:hint="eastAsia" w:ascii="Times New Roman" w:hAnsi="Times New Roman" w:eastAsia="宋体" w:cs="Times New Roman"/>
          <w:szCs w:val="22"/>
          <w:highlight w:val="none"/>
        </w:rPr>
        <w:t>所提供的产品必须是全新、未使用过的，供货时须提供电池包的原厂合格证，且与</w:t>
      </w:r>
      <w:r>
        <w:rPr>
          <w:rFonts w:hint="eastAsia" w:ascii="Times New Roman" w:hAnsi="Times New Roman" w:eastAsia="宋体" w:cs="Times New Roman"/>
          <w:szCs w:val="22"/>
          <w:highlight w:val="none"/>
          <w:lang w:val="en-US" w:eastAsia="zh-CN"/>
        </w:rPr>
        <w:t>响应</w:t>
      </w:r>
      <w:r>
        <w:rPr>
          <w:rFonts w:hint="eastAsia" w:ascii="Times New Roman" w:hAnsi="Times New Roman" w:eastAsia="宋体" w:cs="Times New Roman"/>
          <w:szCs w:val="22"/>
          <w:highlight w:val="none"/>
        </w:rPr>
        <w:t>时作出承诺的生产厂家、品牌一致，否则不予验收。</w:t>
      </w:r>
    </w:p>
    <w:tbl>
      <w:tblPr>
        <w:tblStyle w:val="14"/>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3431"/>
        <w:gridCol w:w="1070"/>
        <w:gridCol w:w="836"/>
        <w:gridCol w:w="1027"/>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1237" w:type="dxa"/>
            <w:noWrap w:val="0"/>
            <w:vAlign w:val="center"/>
          </w:tcPr>
          <w:p>
            <w:pPr>
              <w:adjustRightInd w:val="0"/>
              <w:snapToGrid w:val="0"/>
              <w:spacing w:line="360" w:lineRule="auto"/>
              <w:jc w:val="center"/>
              <w:textAlignment w:val="baseline"/>
              <w:rPr>
                <w:rFonts w:hint="eastAsia" w:ascii="Times New Roman" w:hAnsi="Times New Roman" w:eastAsia="宋体" w:cs="Times New Roman"/>
                <w:b/>
                <w:bCs/>
                <w:szCs w:val="22"/>
                <w:highlight w:val="none"/>
              </w:rPr>
            </w:pPr>
            <w:r>
              <w:rPr>
                <w:rFonts w:hint="eastAsia" w:ascii="Times New Roman" w:hAnsi="Times New Roman" w:eastAsia="宋体" w:cs="Times New Roman"/>
                <w:b/>
                <w:bCs/>
                <w:szCs w:val="22"/>
                <w:highlight w:val="none"/>
              </w:rPr>
              <w:t>产品名称</w:t>
            </w:r>
          </w:p>
        </w:tc>
        <w:tc>
          <w:tcPr>
            <w:tcW w:w="3431" w:type="dxa"/>
            <w:noWrap w:val="0"/>
            <w:vAlign w:val="center"/>
          </w:tcPr>
          <w:p>
            <w:pPr>
              <w:adjustRightInd w:val="0"/>
              <w:snapToGrid w:val="0"/>
              <w:spacing w:line="360" w:lineRule="auto"/>
              <w:ind w:firstLine="422" w:firstLineChars="200"/>
              <w:jc w:val="center"/>
              <w:textAlignment w:val="baseline"/>
              <w:rPr>
                <w:rFonts w:hint="eastAsia" w:ascii="Times New Roman" w:hAnsi="Times New Roman" w:eastAsia="宋体" w:cs="Times New Roman"/>
                <w:b/>
                <w:bCs/>
                <w:szCs w:val="22"/>
                <w:highlight w:val="none"/>
              </w:rPr>
            </w:pPr>
            <w:r>
              <w:rPr>
                <w:rFonts w:hint="eastAsia" w:ascii="Times New Roman" w:hAnsi="Times New Roman" w:eastAsia="宋体" w:cs="Times New Roman"/>
                <w:b/>
                <w:bCs/>
                <w:szCs w:val="22"/>
                <w:highlight w:val="none"/>
              </w:rPr>
              <w:t>技术参数及要求</w:t>
            </w:r>
          </w:p>
        </w:tc>
        <w:tc>
          <w:tcPr>
            <w:tcW w:w="1070" w:type="dxa"/>
            <w:noWrap w:val="0"/>
            <w:vAlign w:val="center"/>
          </w:tcPr>
          <w:p>
            <w:pPr>
              <w:adjustRightInd w:val="0"/>
              <w:snapToGrid w:val="0"/>
              <w:spacing w:line="360" w:lineRule="auto"/>
              <w:jc w:val="center"/>
              <w:textAlignment w:val="baseline"/>
              <w:rPr>
                <w:rFonts w:hint="eastAsia" w:ascii="Times New Roman" w:hAnsi="Times New Roman" w:eastAsia="宋体" w:cs="Times New Roman"/>
                <w:b/>
                <w:bCs/>
                <w:szCs w:val="22"/>
                <w:highlight w:val="none"/>
              </w:rPr>
            </w:pPr>
            <w:r>
              <w:rPr>
                <w:rFonts w:hint="eastAsia" w:ascii="Times New Roman" w:hAnsi="Times New Roman" w:eastAsia="宋体" w:cs="Times New Roman"/>
                <w:b/>
                <w:bCs/>
                <w:szCs w:val="22"/>
                <w:highlight w:val="none"/>
              </w:rPr>
              <w:t>电池组及相关组件数量</w:t>
            </w:r>
          </w:p>
        </w:tc>
        <w:tc>
          <w:tcPr>
            <w:tcW w:w="836" w:type="dxa"/>
            <w:noWrap w:val="0"/>
            <w:vAlign w:val="center"/>
          </w:tcPr>
          <w:p>
            <w:pPr>
              <w:adjustRightInd w:val="0"/>
              <w:snapToGrid w:val="0"/>
              <w:spacing w:line="360" w:lineRule="auto"/>
              <w:jc w:val="both"/>
              <w:textAlignment w:val="baseline"/>
              <w:rPr>
                <w:rFonts w:hint="eastAsia" w:ascii="Times New Roman" w:hAnsi="Times New Roman" w:eastAsia="宋体" w:cs="Times New Roman"/>
                <w:b/>
                <w:bCs/>
                <w:szCs w:val="22"/>
                <w:highlight w:val="none"/>
              </w:rPr>
            </w:pPr>
            <w:r>
              <w:rPr>
                <w:rFonts w:hint="eastAsia" w:ascii="Times New Roman" w:hAnsi="Times New Roman" w:eastAsia="宋体" w:cs="Times New Roman"/>
                <w:b/>
                <w:bCs/>
                <w:szCs w:val="22"/>
                <w:highlight w:val="none"/>
              </w:rPr>
              <w:t>车辆数(辆)</w:t>
            </w:r>
          </w:p>
        </w:tc>
        <w:tc>
          <w:tcPr>
            <w:tcW w:w="1027" w:type="dxa"/>
            <w:noWrap w:val="0"/>
            <w:vAlign w:val="center"/>
          </w:tcPr>
          <w:p>
            <w:pPr>
              <w:adjustRightInd w:val="0"/>
              <w:snapToGrid w:val="0"/>
              <w:spacing w:line="360" w:lineRule="auto"/>
              <w:jc w:val="center"/>
              <w:textAlignment w:val="baseline"/>
              <w:rPr>
                <w:rFonts w:hint="eastAsia" w:ascii="Times New Roman" w:hAnsi="Times New Roman" w:eastAsia="宋体" w:cs="Times New Roman"/>
                <w:b/>
                <w:bCs/>
                <w:szCs w:val="22"/>
                <w:highlight w:val="none"/>
              </w:rPr>
            </w:pPr>
            <w:r>
              <w:rPr>
                <w:rFonts w:hint="eastAsia" w:ascii="Times New Roman" w:hAnsi="Times New Roman" w:eastAsia="宋体" w:cs="Times New Roman"/>
                <w:b/>
                <w:bCs/>
                <w:szCs w:val="22"/>
                <w:highlight w:val="none"/>
              </w:rPr>
              <w:t>最低总电量(kwh)</w:t>
            </w:r>
          </w:p>
        </w:tc>
        <w:tc>
          <w:tcPr>
            <w:tcW w:w="1116" w:type="dxa"/>
            <w:noWrap w:val="0"/>
            <w:vAlign w:val="center"/>
          </w:tcPr>
          <w:p>
            <w:pPr>
              <w:adjustRightInd w:val="0"/>
              <w:snapToGrid w:val="0"/>
              <w:spacing w:line="360" w:lineRule="auto"/>
              <w:jc w:val="center"/>
              <w:textAlignment w:val="baseline"/>
              <w:rPr>
                <w:rFonts w:hint="eastAsia" w:ascii="Times New Roman" w:hAnsi="Times New Roman" w:eastAsia="宋体" w:cs="Times New Roman"/>
                <w:b/>
                <w:bCs/>
                <w:szCs w:val="22"/>
                <w:highlight w:val="none"/>
              </w:rPr>
            </w:pPr>
            <w:r>
              <w:rPr>
                <w:rFonts w:hint="eastAsia" w:ascii="Times New Roman" w:hAnsi="Times New Roman" w:eastAsia="宋体" w:cs="Times New Roman"/>
                <w:b/>
                <w:bCs/>
                <w:szCs w:val="22"/>
                <w:highlight w:val="none"/>
              </w:rPr>
              <w:t>电量最高限价</w:t>
            </w:r>
          </w:p>
          <w:p>
            <w:pPr>
              <w:adjustRightInd w:val="0"/>
              <w:snapToGrid w:val="0"/>
              <w:spacing w:line="360" w:lineRule="auto"/>
              <w:jc w:val="center"/>
              <w:textAlignment w:val="baseline"/>
              <w:rPr>
                <w:rFonts w:hint="eastAsia" w:ascii="Times New Roman" w:hAnsi="Times New Roman" w:eastAsia="宋体" w:cs="Times New Roman"/>
                <w:b/>
                <w:bCs/>
                <w:szCs w:val="22"/>
                <w:highlight w:val="none"/>
              </w:rPr>
            </w:pPr>
            <w:r>
              <w:rPr>
                <w:rFonts w:hint="eastAsia" w:ascii="Times New Roman" w:hAnsi="Times New Roman" w:eastAsia="宋体" w:cs="Times New Roman"/>
                <w:b/>
                <w:bCs/>
                <w:szCs w:val="22"/>
                <w:highlight w:val="none"/>
              </w:rPr>
              <w:t>(元/kwh)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2" w:hRule="atLeast"/>
          <w:jc w:val="center"/>
        </w:trPr>
        <w:tc>
          <w:tcPr>
            <w:tcW w:w="1237"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textAlignment w:val="baseline"/>
              <w:rPr>
                <w:rFonts w:hint="eastAsia" w:ascii="Times New Roman" w:hAnsi="Times New Roman" w:eastAsia="宋体" w:cs="Times New Roman"/>
                <w:szCs w:val="22"/>
                <w:highlight w:val="none"/>
              </w:rPr>
            </w:pPr>
            <w:r>
              <w:rPr>
                <w:rFonts w:hint="eastAsia" w:ascii="Times New Roman" w:hAnsi="Times New Roman" w:eastAsia="宋体" w:cs="Times New Roman"/>
                <w:szCs w:val="22"/>
                <w:highlight w:val="none"/>
              </w:rPr>
              <w:t>磷酸铁锂动力电 池组 (不得采用梯次电芯) 及相关组件</w:t>
            </w:r>
          </w:p>
        </w:tc>
        <w:tc>
          <w:tcPr>
            <w:tcW w:w="3431"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textAlignment w:val="baseline"/>
              <w:rPr>
                <w:rFonts w:hint="eastAsia" w:ascii="Times New Roman" w:hAnsi="Times New Roman" w:eastAsia="宋体" w:cs="Times New Roman"/>
                <w:szCs w:val="22"/>
                <w:highlight w:val="none"/>
              </w:rPr>
            </w:pPr>
            <w:r>
              <w:rPr>
                <w:rFonts w:hint="eastAsia" w:ascii="Times New Roman" w:hAnsi="Times New Roman" w:eastAsia="宋体" w:cs="Times New Roman"/>
                <w:szCs w:val="22"/>
                <w:highlight w:val="none"/>
              </w:rPr>
              <w:t>8.</w:t>
            </w:r>
            <w:r>
              <w:rPr>
                <w:rFonts w:hint="eastAsia" w:ascii="Times New Roman" w:hAnsi="Times New Roman" w:eastAsia="宋体" w:cs="Times New Roman"/>
                <w:szCs w:val="22"/>
                <w:highlight w:val="none"/>
                <w:lang w:val="en-US" w:eastAsia="zh-CN"/>
              </w:rPr>
              <w:t>1</w:t>
            </w:r>
            <w:r>
              <w:rPr>
                <w:rFonts w:hint="eastAsia" w:ascii="Times New Roman" w:hAnsi="Times New Roman" w:eastAsia="宋体" w:cs="Times New Roman"/>
                <w:szCs w:val="22"/>
                <w:highlight w:val="none"/>
              </w:rPr>
              <w:t>米车型磷酸铁锂动力电池组 (不得采用梯次电芯) 及相关组件：</w:t>
            </w:r>
          </w:p>
          <w:p>
            <w:pPr>
              <w:keepNext w:val="0"/>
              <w:keepLines w:val="0"/>
              <w:pageBreakBefore w:val="0"/>
              <w:widowControl w:val="0"/>
              <w:kinsoku/>
              <w:wordWrap/>
              <w:overflowPunct/>
              <w:topLinePunct w:val="0"/>
              <w:autoSpaceDE/>
              <w:autoSpaceDN/>
              <w:bidi w:val="0"/>
              <w:adjustRightInd w:val="0"/>
              <w:snapToGrid w:val="0"/>
              <w:spacing w:line="300" w:lineRule="exact"/>
              <w:textAlignment w:val="baseline"/>
              <w:rPr>
                <w:rFonts w:hint="eastAsia" w:ascii="Times New Roman" w:hAnsi="Times New Roman" w:eastAsia="宋体" w:cs="Times New Roman"/>
                <w:szCs w:val="22"/>
                <w:highlight w:val="none"/>
              </w:rPr>
            </w:pPr>
            <w:r>
              <w:rPr>
                <w:rFonts w:hint="eastAsia" w:ascii="Times New Roman" w:hAnsi="Times New Roman" w:eastAsia="宋体" w:cs="Times New Roman"/>
                <w:szCs w:val="22"/>
                <w:highlight w:val="none"/>
              </w:rPr>
              <w:t>1、电量：≥105kwh；</w:t>
            </w:r>
          </w:p>
          <w:p>
            <w:pPr>
              <w:keepNext w:val="0"/>
              <w:keepLines w:val="0"/>
              <w:pageBreakBefore w:val="0"/>
              <w:widowControl w:val="0"/>
              <w:kinsoku/>
              <w:wordWrap/>
              <w:overflowPunct/>
              <w:topLinePunct w:val="0"/>
              <w:autoSpaceDE/>
              <w:autoSpaceDN/>
              <w:bidi w:val="0"/>
              <w:adjustRightInd w:val="0"/>
              <w:snapToGrid w:val="0"/>
              <w:spacing w:line="300" w:lineRule="exact"/>
              <w:textAlignment w:val="baseline"/>
              <w:rPr>
                <w:rFonts w:hint="eastAsia" w:ascii="Times New Roman" w:hAnsi="Times New Roman" w:eastAsia="宋体" w:cs="Times New Roman"/>
                <w:szCs w:val="22"/>
                <w:highlight w:val="none"/>
                <w:lang w:eastAsia="zh-CN"/>
              </w:rPr>
            </w:pPr>
            <w:r>
              <w:rPr>
                <w:rFonts w:hint="eastAsia" w:ascii="Times New Roman" w:hAnsi="Times New Roman" w:eastAsia="宋体" w:cs="Times New Roman"/>
                <w:szCs w:val="22"/>
                <w:highlight w:val="none"/>
              </w:rPr>
              <w:t>2、电池箱体：大箱长度102CM，宽62.7CM，高24CM，160V180A</w:t>
            </w:r>
            <w:r>
              <w:rPr>
                <w:rFonts w:hint="eastAsia" w:ascii="Times New Roman" w:hAnsi="Times New Roman" w:eastAsia="宋体" w:cs="Times New Roman"/>
                <w:szCs w:val="22"/>
                <w:highlight w:val="none"/>
                <w:lang w:eastAsia="zh-CN"/>
              </w:rPr>
              <w:t>；</w:t>
            </w:r>
            <w:r>
              <w:rPr>
                <w:rFonts w:hint="eastAsia" w:ascii="Times New Roman" w:hAnsi="Times New Roman" w:eastAsia="宋体" w:cs="Times New Roman"/>
                <w:szCs w:val="22"/>
                <w:highlight w:val="none"/>
              </w:rPr>
              <w:t>小箱长度102CM，宽62.7CM，高24CM，96V180A</w:t>
            </w:r>
          </w:p>
          <w:p>
            <w:pPr>
              <w:keepNext w:val="0"/>
              <w:keepLines w:val="0"/>
              <w:pageBreakBefore w:val="0"/>
              <w:widowControl w:val="0"/>
              <w:kinsoku/>
              <w:wordWrap/>
              <w:overflowPunct/>
              <w:topLinePunct w:val="0"/>
              <w:autoSpaceDE/>
              <w:autoSpaceDN/>
              <w:bidi w:val="0"/>
              <w:adjustRightInd w:val="0"/>
              <w:snapToGrid w:val="0"/>
              <w:spacing w:line="300" w:lineRule="exact"/>
              <w:textAlignment w:val="baseline"/>
              <w:rPr>
                <w:rFonts w:hint="eastAsia" w:ascii="Times New Roman" w:hAnsi="Times New Roman" w:eastAsia="宋体" w:cs="Times New Roman"/>
                <w:szCs w:val="22"/>
                <w:highlight w:val="none"/>
              </w:rPr>
            </w:pPr>
            <w:r>
              <w:rPr>
                <w:rFonts w:hint="eastAsia" w:ascii="Times New Roman" w:hAnsi="Times New Roman" w:eastAsia="宋体" w:cs="Times New Roman"/>
                <w:szCs w:val="22"/>
                <w:highlight w:val="none"/>
              </w:rPr>
              <w:t>3、系统能量密度≥140wh/kg；</w:t>
            </w:r>
          </w:p>
          <w:p>
            <w:pPr>
              <w:keepNext w:val="0"/>
              <w:keepLines w:val="0"/>
              <w:pageBreakBefore w:val="0"/>
              <w:widowControl w:val="0"/>
              <w:kinsoku/>
              <w:wordWrap/>
              <w:overflowPunct/>
              <w:topLinePunct w:val="0"/>
              <w:autoSpaceDE/>
              <w:autoSpaceDN/>
              <w:bidi w:val="0"/>
              <w:adjustRightInd w:val="0"/>
              <w:snapToGrid w:val="0"/>
              <w:spacing w:line="300" w:lineRule="exact"/>
              <w:textAlignment w:val="baseline"/>
              <w:rPr>
                <w:rFonts w:hint="eastAsia" w:ascii="Times New Roman" w:hAnsi="Times New Roman" w:eastAsia="宋体" w:cs="Times New Roman"/>
                <w:szCs w:val="22"/>
                <w:highlight w:val="none"/>
                <w:lang w:eastAsia="zh-CN"/>
              </w:rPr>
            </w:pPr>
            <w:r>
              <w:rPr>
                <w:rFonts w:hint="eastAsia" w:ascii="Times New Roman" w:hAnsi="Times New Roman" w:eastAsia="宋体" w:cs="Times New Roman"/>
                <w:szCs w:val="22"/>
                <w:highlight w:val="none"/>
              </w:rPr>
              <w:t>4、防护等级：电池箱 IP68；</w:t>
            </w:r>
          </w:p>
          <w:p>
            <w:pPr>
              <w:keepNext w:val="0"/>
              <w:keepLines w:val="0"/>
              <w:pageBreakBefore w:val="0"/>
              <w:widowControl w:val="0"/>
              <w:kinsoku/>
              <w:wordWrap/>
              <w:overflowPunct/>
              <w:topLinePunct w:val="0"/>
              <w:autoSpaceDE/>
              <w:autoSpaceDN/>
              <w:bidi w:val="0"/>
              <w:adjustRightInd w:val="0"/>
              <w:snapToGrid w:val="0"/>
              <w:spacing w:line="300" w:lineRule="exact"/>
              <w:textAlignment w:val="baseline"/>
              <w:rPr>
                <w:rFonts w:hint="eastAsia" w:ascii="Times New Roman" w:hAnsi="Times New Roman" w:eastAsia="宋体" w:cs="Times New Roman"/>
                <w:szCs w:val="22"/>
                <w:highlight w:val="none"/>
                <w:lang w:eastAsia="zh-CN"/>
              </w:rPr>
            </w:pPr>
            <w:r>
              <w:rPr>
                <w:rFonts w:hint="eastAsia" w:ascii="Times New Roman" w:hAnsi="Times New Roman" w:eastAsia="宋体" w:cs="Times New Roman"/>
                <w:szCs w:val="22"/>
                <w:highlight w:val="none"/>
                <w:lang w:val="en-US" w:eastAsia="zh-CN"/>
              </w:rPr>
              <w:t>5</w:t>
            </w:r>
            <w:r>
              <w:rPr>
                <w:rFonts w:hint="eastAsia" w:ascii="Times New Roman" w:hAnsi="Times New Roman" w:eastAsia="宋体" w:cs="Times New Roman"/>
                <w:szCs w:val="22"/>
                <w:highlight w:val="none"/>
              </w:rPr>
              <w:t>、★电池电芯与电池系统为同一品牌或同一企业生产(</w:t>
            </w:r>
            <w:r>
              <w:rPr>
                <w:rFonts w:hint="eastAsia" w:ascii="Times New Roman" w:hAnsi="Times New Roman" w:eastAsia="宋体" w:cs="Times New Roman"/>
                <w:szCs w:val="22"/>
                <w:highlight w:val="none"/>
                <w:lang w:eastAsia="zh-CN"/>
              </w:rPr>
              <w:t>响应</w:t>
            </w:r>
            <w:r>
              <w:rPr>
                <w:rFonts w:hint="eastAsia" w:ascii="Times New Roman" w:hAnsi="Times New Roman" w:eastAsia="宋体" w:cs="Times New Roman"/>
                <w:szCs w:val="22"/>
                <w:highlight w:val="none"/>
              </w:rPr>
              <w:t xml:space="preserve">时，须在“标书响应情况表”中对电芯和电池系统的品牌和生产厂家进行说明，并提供生产厂家出具的电芯与电池系统为同一品牌或同一企业生产承诺书，格式自拟) </w:t>
            </w:r>
            <w:r>
              <w:rPr>
                <w:rFonts w:hint="eastAsia" w:ascii="Times New Roman" w:hAnsi="Times New Roman" w:eastAsia="宋体" w:cs="Times New Roman"/>
                <w:szCs w:val="2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exact"/>
              <w:textAlignment w:val="baseline"/>
              <w:rPr>
                <w:rFonts w:hint="eastAsia" w:ascii="Times New Roman" w:hAnsi="Times New Roman" w:eastAsia="宋体" w:cs="Times New Roman"/>
                <w:szCs w:val="22"/>
                <w:highlight w:val="none"/>
                <w:lang w:eastAsia="zh-CN"/>
              </w:rPr>
            </w:pPr>
            <w:r>
              <w:rPr>
                <w:rFonts w:hint="eastAsia" w:ascii="Times New Roman" w:hAnsi="Times New Roman" w:eastAsia="宋体" w:cs="Times New Roman"/>
                <w:szCs w:val="22"/>
                <w:highlight w:val="none"/>
                <w:lang w:eastAsia="zh-CN"/>
              </w:rPr>
              <w:t>6、</w:t>
            </w:r>
            <w:r>
              <w:rPr>
                <w:rFonts w:hint="eastAsia" w:ascii="Times New Roman" w:hAnsi="Times New Roman" w:eastAsia="宋体" w:cs="Times New Roman"/>
                <w:szCs w:val="22"/>
                <w:highlight w:val="none"/>
              </w:rPr>
              <w:t>山区道路运行时，系统电压≥</w:t>
            </w:r>
            <w:r>
              <w:rPr>
                <w:rFonts w:hint="eastAsia" w:ascii="Times New Roman" w:hAnsi="Times New Roman" w:eastAsia="宋体" w:cs="Times New Roman"/>
                <w:szCs w:val="22"/>
                <w:highlight w:val="none"/>
                <w:lang w:val="en-US" w:eastAsia="zh-CN"/>
              </w:rPr>
              <w:t>512</w:t>
            </w:r>
            <w:r>
              <w:rPr>
                <w:rFonts w:hint="eastAsia" w:ascii="Times New Roman" w:hAnsi="Times New Roman" w:eastAsia="宋体" w:cs="Times New Roman"/>
                <w:szCs w:val="22"/>
                <w:highlight w:val="none"/>
              </w:rPr>
              <w:t>V；</w:t>
            </w:r>
            <w:r>
              <w:rPr>
                <w:rFonts w:hint="eastAsia" w:ascii="Times New Roman" w:hAnsi="Times New Roman" w:eastAsia="宋体" w:cs="Times New Roman"/>
                <w:szCs w:val="22"/>
                <w:highlight w:val="none"/>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textAlignment w:val="baseline"/>
              <w:rPr>
                <w:rFonts w:hint="eastAsia" w:ascii="Times New Roman" w:hAnsi="Times New Roman" w:eastAsia="宋体" w:cs="Times New Roman"/>
                <w:szCs w:val="22"/>
                <w:highlight w:val="none"/>
              </w:rPr>
            </w:pPr>
            <w:r>
              <w:rPr>
                <w:rFonts w:hint="eastAsia" w:ascii="Times New Roman" w:hAnsi="Times New Roman" w:eastAsia="宋体" w:cs="Times New Roman"/>
                <w:szCs w:val="22"/>
                <w:highlight w:val="none"/>
                <w:lang w:eastAsia="zh-CN"/>
              </w:rPr>
              <w:t>7、</w:t>
            </w:r>
            <w:r>
              <w:rPr>
                <w:rFonts w:hint="eastAsia" w:ascii="Times New Roman" w:hAnsi="Times New Roman" w:eastAsia="宋体" w:cs="Times New Roman"/>
                <w:szCs w:val="22"/>
                <w:highlight w:val="none"/>
              </w:rPr>
              <w:t>车辆充满电运行至 SOC20%左右，持续开启空调状态下， 续航里程≥1</w:t>
            </w:r>
            <w:r>
              <w:rPr>
                <w:rFonts w:hint="eastAsia" w:ascii="Times New Roman" w:hAnsi="Times New Roman" w:eastAsia="宋体" w:cs="Times New Roman"/>
                <w:szCs w:val="22"/>
                <w:highlight w:val="none"/>
                <w:lang w:val="en-US" w:eastAsia="zh-CN"/>
              </w:rPr>
              <w:t>5</w:t>
            </w:r>
            <w:r>
              <w:rPr>
                <w:rFonts w:hint="eastAsia" w:ascii="Times New Roman" w:hAnsi="Times New Roman" w:eastAsia="宋体" w:cs="Times New Roman"/>
                <w:szCs w:val="22"/>
                <w:highlight w:val="none"/>
              </w:rPr>
              <w:t>0 公里；</w:t>
            </w:r>
          </w:p>
          <w:p>
            <w:pPr>
              <w:keepNext w:val="0"/>
              <w:keepLines w:val="0"/>
              <w:pageBreakBefore w:val="0"/>
              <w:widowControl w:val="0"/>
              <w:kinsoku/>
              <w:wordWrap/>
              <w:overflowPunct/>
              <w:topLinePunct w:val="0"/>
              <w:autoSpaceDE/>
              <w:autoSpaceDN/>
              <w:bidi w:val="0"/>
              <w:adjustRightInd w:val="0"/>
              <w:snapToGrid w:val="0"/>
              <w:spacing w:line="300" w:lineRule="exact"/>
              <w:textAlignment w:val="baseline"/>
              <w:rPr>
                <w:rFonts w:hint="eastAsia" w:ascii="Times New Roman" w:hAnsi="Times New Roman" w:eastAsia="宋体" w:cs="Times New Roman"/>
                <w:szCs w:val="22"/>
                <w:highlight w:val="none"/>
              </w:rPr>
            </w:pPr>
            <w:r>
              <w:rPr>
                <w:rFonts w:hint="eastAsia" w:ascii="Times New Roman" w:hAnsi="Times New Roman" w:eastAsia="宋体" w:cs="Times New Roman"/>
                <w:szCs w:val="22"/>
                <w:highlight w:val="none"/>
                <w:lang w:val="en-US" w:eastAsia="zh-CN"/>
              </w:rPr>
              <w:t>8</w:t>
            </w:r>
            <w:r>
              <w:rPr>
                <w:rFonts w:hint="eastAsia" w:ascii="Times New Roman" w:hAnsi="Times New Roman" w:eastAsia="宋体" w:cs="Times New Roman"/>
                <w:szCs w:val="22"/>
                <w:highlight w:val="none"/>
              </w:rPr>
              <w:t>、★5 年内电池衰减＜30%。</w:t>
            </w:r>
          </w:p>
        </w:tc>
        <w:tc>
          <w:tcPr>
            <w:tcW w:w="1070"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r>
              <w:rPr>
                <w:rFonts w:hint="eastAsia" w:ascii="Times New Roman" w:hAnsi="Times New Roman" w:eastAsia="宋体" w:cs="Times New Roman"/>
                <w:szCs w:val="2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Times New Roman" w:hAnsi="Times New Roman" w:eastAsia="宋体" w:cs="Times New Roman"/>
                <w:szCs w:val="22"/>
                <w:highlight w:val="none"/>
              </w:rPr>
            </w:pPr>
            <w:r>
              <w:rPr>
                <w:rFonts w:hint="eastAsia" w:ascii="Times New Roman" w:hAnsi="Times New Roman" w:eastAsia="宋体" w:cs="Times New Roman"/>
                <w:szCs w:val="22"/>
                <w:highlight w:val="none"/>
              </w:rPr>
              <w:t>套</w:t>
            </w:r>
          </w:p>
        </w:tc>
        <w:tc>
          <w:tcPr>
            <w:tcW w:w="836"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eastAsia" w:ascii="Times New Roman" w:hAnsi="Times New Roman" w:eastAsia="宋体" w:cs="Times New Roman"/>
                <w:szCs w:val="22"/>
                <w:highlight w:val="none"/>
              </w:rPr>
            </w:pPr>
            <w:r>
              <w:rPr>
                <w:rFonts w:hint="eastAsia" w:ascii="Times New Roman" w:hAnsi="Times New Roman" w:eastAsia="宋体" w:cs="Times New Roman"/>
                <w:szCs w:val="22"/>
                <w:highlight w:val="none"/>
                <w:lang w:val="en-US" w:eastAsia="zh-CN"/>
              </w:rPr>
              <w:t>2</w:t>
            </w:r>
            <w:r>
              <w:rPr>
                <w:rFonts w:hint="eastAsia" w:ascii="Times New Roman" w:hAnsi="Times New Roman" w:eastAsia="宋体" w:cs="Times New Roman"/>
                <w:szCs w:val="22"/>
                <w:highlight w:val="none"/>
              </w:rPr>
              <w:t>0</w:t>
            </w:r>
          </w:p>
        </w:tc>
        <w:tc>
          <w:tcPr>
            <w:tcW w:w="1027"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baseline"/>
              <w:rPr>
                <w:rFonts w:hint="default" w:ascii="Times New Roman" w:hAnsi="Times New Roman" w:eastAsia="宋体" w:cs="Times New Roman"/>
                <w:szCs w:val="22"/>
                <w:highlight w:val="none"/>
                <w:lang w:val="en-US"/>
              </w:rPr>
            </w:pPr>
            <w:r>
              <w:rPr>
                <w:rFonts w:hint="eastAsia" w:ascii="Times New Roman" w:hAnsi="Times New Roman" w:eastAsia="宋体" w:cs="Times New Roman"/>
                <w:szCs w:val="22"/>
                <w:highlight w:val="none"/>
                <w:lang w:val="en-US" w:eastAsia="zh-CN"/>
              </w:rPr>
              <w:t>2100</w:t>
            </w:r>
          </w:p>
        </w:tc>
        <w:tc>
          <w:tcPr>
            <w:tcW w:w="1116" w:type="dxa"/>
            <w:noWrap w:val="0"/>
            <w:vAlign w:val="top"/>
          </w:tcPr>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rPr>
            </w:pPr>
          </w:p>
          <w:p>
            <w:pPr>
              <w:keepNext w:val="0"/>
              <w:keepLines w:val="0"/>
              <w:pageBreakBefore w:val="0"/>
              <w:widowControl w:val="0"/>
              <w:kinsoku/>
              <w:wordWrap/>
              <w:overflowPunct/>
              <w:topLinePunct w:val="0"/>
              <w:autoSpaceDE/>
              <w:autoSpaceDN/>
              <w:bidi w:val="0"/>
              <w:adjustRightInd w:val="0"/>
              <w:snapToGrid w:val="0"/>
              <w:spacing w:line="300" w:lineRule="exact"/>
              <w:ind w:firstLine="420" w:firstLineChars="200"/>
              <w:textAlignment w:val="baseline"/>
              <w:rPr>
                <w:rFonts w:hint="eastAsia" w:ascii="Times New Roman" w:hAnsi="Times New Roman" w:eastAsia="宋体" w:cs="Times New Roman"/>
                <w:szCs w:val="22"/>
                <w:highlight w:val="none"/>
                <w:lang w:eastAsia="zh-CN"/>
              </w:rPr>
            </w:pPr>
            <w:r>
              <w:rPr>
                <w:rFonts w:hint="eastAsia" w:ascii="Times New Roman" w:hAnsi="Times New Roman" w:eastAsia="宋体" w:cs="Times New Roman"/>
                <w:szCs w:val="22"/>
                <w:highlight w:val="none"/>
                <w:lang w:eastAsia="zh-CN"/>
              </w:rPr>
              <w:t>950</w:t>
            </w:r>
          </w:p>
        </w:tc>
      </w:tr>
    </w:tbl>
    <w:p>
      <w:pPr>
        <w:adjustRightInd w:val="0"/>
        <w:snapToGrid w:val="0"/>
        <w:spacing w:line="360" w:lineRule="auto"/>
        <w:ind w:firstLine="422" w:firstLineChars="200"/>
        <w:textAlignment w:val="baseline"/>
        <w:rPr>
          <w:rFonts w:hint="eastAsia" w:ascii="宋体" w:hAnsi="宋体" w:eastAsia="宋体" w:cs="宋体"/>
          <w:b/>
          <w:bCs/>
          <w:highlight w:val="none"/>
        </w:rPr>
      </w:pPr>
      <w:r>
        <w:rPr>
          <w:rFonts w:hint="eastAsia" w:ascii="Times New Roman" w:hAnsi="Times New Roman" w:eastAsia="宋体" w:cs="Times New Roman"/>
          <w:b/>
          <w:bCs/>
          <w:szCs w:val="22"/>
          <w:highlight w:val="none"/>
        </w:rPr>
        <w:t>注：如</w:t>
      </w:r>
      <w:r>
        <w:rPr>
          <w:rFonts w:hint="eastAsia" w:ascii="Times New Roman" w:hAnsi="Times New Roman" w:eastAsia="宋体" w:cs="Times New Roman"/>
          <w:b/>
          <w:bCs/>
          <w:szCs w:val="22"/>
          <w:highlight w:val="none"/>
          <w:lang w:val="en-US" w:eastAsia="zh-CN"/>
        </w:rPr>
        <w:t>响应</w:t>
      </w:r>
      <w:r>
        <w:rPr>
          <w:rFonts w:hint="eastAsia" w:ascii="Times New Roman" w:hAnsi="Times New Roman" w:eastAsia="宋体" w:cs="Times New Roman"/>
          <w:b/>
          <w:bCs/>
          <w:szCs w:val="22"/>
          <w:highlight w:val="none"/>
          <w:lang w:eastAsia="zh-CN"/>
        </w:rPr>
        <w:t>人</w:t>
      </w:r>
      <w:r>
        <w:rPr>
          <w:rFonts w:hint="eastAsia" w:ascii="Times New Roman" w:hAnsi="Times New Roman" w:eastAsia="宋体" w:cs="Times New Roman"/>
          <w:b/>
          <w:bCs/>
          <w:szCs w:val="22"/>
          <w:highlight w:val="none"/>
        </w:rPr>
        <w:t>根据评分标准承诺在1</w:t>
      </w:r>
      <w:r>
        <w:rPr>
          <w:rFonts w:hint="eastAsia" w:ascii="Times New Roman" w:hAnsi="Times New Roman" w:eastAsia="宋体" w:cs="Times New Roman"/>
          <w:b/>
          <w:bCs/>
          <w:szCs w:val="22"/>
          <w:highlight w:val="none"/>
          <w:lang w:val="en-US" w:eastAsia="zh-CN"/>
        </w:rPr>
        <w:t>0</w:t>
      </w:r>
      <w:r>
        <w:rPr>
          <w:rFonts w:hint="eastAsia" w:ascii="Times New Roman" w:hAnsi="Times New Roman" w:eastAsia="宋体" w:cs="Times New Roman"/>
          <w:b/>
          <w:bCs/>
          <w:szCs w:val="22"/>
          <w:highlight w:val="none"/>
        </w:rPr>
        <w:t>5kwh的基础上增加电量，则应当在评分部分以承诺方式列明所增加的电量，不得在报价时修改上表中的总电量数值，否则按无效</w:t>
      </w:r>
      <w:r>
        <w:rPr>
          <w:rFonts w:hint="eastAsia" w:ascii="Times New Roman" w:hAnsi="Times New Roman" w:eastAsia="宋体" w:cs="Times New Roman"/>
          <w:b/>
          <w:bCs/>
          <w:szCs w:val="22"/>
          <w:highlight w:val="none"/>
          <w:lang w:val="en-US" w:eastAsia="zh-CN"/>
        </w:rPr>
        <w:t>响应</w:t>
      </w:r>
      <w:r>
        <w:rPr>
          <w:rFonts w:hint="eastAsia" w:ascii="Times New Roman" w:hAnsi="Times New Roman" w:eastAsia="宋体" w:cs="Times New Roman"/>
          <w:b/>
          <w:bCs/>
          <w:szCs w:val="22"/>
          <w:highlight w:val="none"/>
        </w:rPr>
        <w:t>处理。</w:t>
      </w:r>
      <w:r>
        <w:rPr>
          <w:rFonts w:hint="eastAsia" w:ascii="Times New Roman" w:hAnsi="Times New Roman" w:eastAsia="宋体" w:cs="Times New Roman"/>
          <w:b/>
          <w:bCs/>
          <w:szCs w:val="22"/>
          <w:highlight w:val="none"/>
          <w:lang w:val="en-US" w:eastAsia="zh-CN"/>
        </w:rPr>
        <w:t>响应</w:t>
      </w:r>
      <w:r>
        <w:rPr>
          <w:rFonts w:hint="eastAsia" w:ascii="Times New Roman" w:hAnsi="Times New Roman" w:eastAsia="宋体" w:cs="Times New Roman"/>
          <w:b/>
          <w:bCs/>
          <w:szCs w:val="22"/>
          <w:highlight w:val="none"/>
          <w:lang w:eastAsia="zh-CN"/>
        </w:rPr>
        <w:t>人</w:t>
      </w:r>
      <w:r>
        <w:rPr>
          <w:rFonts w:hint="eastAsia" w:ascii="Times New Roman" w:hAnsi="Times New Roman" w:eastAsia="宋体" w:cs="Times New Roman"/>
          <w:b/>
          <w:bCs/>
          <w:szCs w:val="22"/>
          <w:highlight w:val="none"/>
        </w:rPr>
        <w:t>承诺增加的电量为</w:t>
      </w:r>
      <w:r>
        <w:rPr>
          <w:rFonts w:hint="eastAsia" w:ascii="Times New Roman" w:hAnsi="Times New Roman" w:eastAsia="宋体" w:cs="Times New Roman"/>
          <w:b/>
          <w:bCs/>
          <w:szCs w:val="22"/>
          <w:highlight w:val="none"/>
          <w:lang w:val="en-US" w:eastAsia="zh-CN"/>
        </w:rPr>
        <w:t>响应</w:t>
      </w:r>
      <w:r>
        <w:rPr>
          <w:rFonts w:hint="eastAsia" w:ascii="Times New Roman" w:hAnsi="Times New Roman" w:eastAsia="宋体" w:cs="Times New Roman"/>
          <w:b/>
          <w:bCs/>
          <w:szCs w:val="22"/>
          <w:highlight w:val="none"/>
          <w:lang w:eastAsia="zh-CN"/>
        </w:rPr>
        <w:t>人</w:t>
      </w:r>
      <w:r>
        <w:rPr>
          <w:rFonts w:hint="eastAsia" w:ascii="Times New Roman" w:hAnsi="Times New Roman" w:eastAsia="宋体" w:cs="Times New Roman"/>
          <w:b/>
          <w:bCs/>
          <w:szCs w:val="22"/>
          <w:highlight w:val="none"/>
        </w:rPr>
        <w:t>给出的优惠，不纳入合同结算范围</w:t>
      </w:r>
      <w:r>
        <w:rPr>
          <w:rFonts w:hint="eastAsia" w:ascii="Times New Roman" w:hAnsi="Times New Roman" w:eastAsia="宋体" w:cs="Times New Roman"/>
          <w:b/>
          <w:bCs/>
          <w:szCs w:val="22"/>
          <w:highlight w:val="none"/>
          <w:lang w:eastAsia="zh-CN"/>
        </w:rPr>
        <w:t>。</w:t>
      </w:r>
      <w:r>
        <w:rPr>
          <w:rFonts w:hint="eastAsia" w:ascii="宋体" w:hAnsi="宋体" w:eastAsia="宋体" w:cs="宋体"/>
          <w:b/>
          <w:bCs/>
          <w:highlight w:val="none"/>
        </w:rPr>
        <w:t>采购人后期有权要求响应人提供所投产品印证资料原件进行审核，如虚假响应，按废标处理。</w:t>
      </w:r>
    </w:p>
    <w:p>
      <w:pPr>
        <w:jc w:val="center"/>
        <w:rPr>
          <w:rFonts w:ascii="Times New Roman" w:hAnsi="Times New Roman" w:eastAsia="宋体" w:cs="Times New Roman"/>
          <w:b/>
          <w:bCs/>
          <w:sz w:val="36"/>
          <w:szCs w:val="36"/>
          <w:highlight w:val="none"/>
        </w:rPr>
      </w:pPr>
      <w:bookmarkStart w:id="79" w:name="_Toc9834_WPSOffice_Level1"/>
      <w:r>
        <w:rPr>
          <w:rFonts w:hint="eastAsia" w:ascii="Times New Roman" w:hAnsi="Times New Roman" w:eastAsia="宋体" w:cs="Times New Roman"/>
          <w:b/>
          <w:bCs/>
          <w:sz w:val="36"/>
          <w:szCs w:val="36"/>
          <w:highlight w:val="none"/>
        </w:rPr>
        <w:t>第六章</w:t>
      </w:r>
      <w:r>
        <w:rPr>
          <w:rFonts w:hint="eastAsia" w:ascii="Times New Roman" w:hAnsi="Times New Roman" w:eastAsia="宋体" w:cs="Times New Roman"/>
          <w:b/>
          <w:bCs/>
          <w:sz w:val="36"/>
          <w:szCs w:val="36"/>
          <w:highlight w:val="none"/>
          <w:lang w:val="en-US" w:eastAsia="zh-CN"/>
        </w:rPr>
        <w:t xml:space="preserve">  </w:t>
      </w:r>
      <w:r>
        <w:rPr>
          <w:rFonts w:ascii="Times New Roman" w:hAnsi="Times New Roman" w:eastAsia="宋体" w:cs="Times New Roman"/>
          <w:b/>
          <w:bCs/>
          <w:sz w:val="36"/>
          <w:szCs w:val="36"/>
          <w:highlight w:val="none"/>
        </w:rPr>
        <w:t>响应文件格式</w:t>
      </w:r>
      <w:bookmarkEnd w:id="79"/>
    </w:p>
    <w:p>
      <w:pPr>
        <w:rPr>
          <w:rFonts w:ascii="Times New Roman" w:hAnsi="Times New Roman" w:eastAsia="宋体" w:cs="Times New Roman"/>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4"/>
          <w:highlight w:val="none"/>
        </w:rPr>
      </w:pPr>
      <w:r>
        <w:rPr>
          <w:rFonts w:ascii="Times New Roman" w:hAnsi="Times New Roman" w:eastAsia="黑体" w:cs="Times New Roman"/>
          <w:szCs w:val="21"/>
          <w:highlight w:val="none"/>
        </w:rPr>
        <w:t xml:space="preserve">           ______________________________</w:t>
      </w:r>
      <w:r>
        <w:rPr>
          <w:rFonts w:ascii="Times New Roman" w:hAnsi="Times New Roman" w:eastAsia="黑体" w:cs="Times New Roman"/>
          <w:sz w:val="28"/>
          <w:szCs w:val="28"/>
          <w:highlight w:val="none"/>
        </w:rPr>
        <w:t>(项目名称)合同包询比</w:t>
      </w: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40"/>
          <w:szCs w:val="40"/>
          <w:highlight w:val="none"/>
        </w:rPr>
      </w:pPr>
    </w:p>
    <w:p>
      <w:pPr>
        <w:spacing w:line="440" w:lineRule="exact"/>
        <w:jc w:val="center"/>
        <w:rPr>
          <w:rFonts w:ascii="Times New Roman" w:hAnsi="Times New Roman" w:eastAsia="黑体" w:cs="Times New Roman"/>
          <w:sz w:val="40"/>
          <w:szCs w:val="40"/>
          <w:highlight w:val="none"/>
        </w:rPr>
      </w:pPr>
    </w:p>
    <w:p>
      <w:pPr>
        <w:spacing w:line="440" w:lineRule="exact"/>
        <w:jc w:val="center"/>
        <w:rPr>
          <w:rFonts w:ascii="Times New Roman" w:hAnsi="Times New Roman" w:eastAsia="黑体" w:cs="Times New Roman"/>
          <w:sz w:val="40"/>
          <w:szCs w:val="40"/>
          <w:highlight w:val="none"/>
        </w:rPr>
      </w:pPr>
    </w:p>
    <w:p>
      <w:pPr>
        <w:spacing w:line="440" w:lineRule="exact"/>
        <w:jc w:val="center"/>
        <w:rPr>
          <w:rFonts w:ascii="Times New Roman" w:hAnsi="Times New Roman" w:eastAsia="黑体" w:cs="Times New Roman"/>
          <w:sz w:val="40"/>
          <w:szCs w:val="40"/>
          <w:highlight w:val="none"/>
        </w:rPr>
      </w:pPr>
    </w:p>
    <w:p>
      <w:pPr>
        <w:jc w:val="center"/>
        <w:rPr>
          <w:rFonts w:ascii="Times New Roman" w:hAnsi="Times New Roman" w:eastAsia="黑体" w:cs="Times New Roman"/>
          <w:sz w:val="50"/>
          <w:szCs w:val="50"/>
          <w:highlight w:val="none"/>
        </w:rPr>
      </w:pPr>
      <w:bookmarkStart w:id="80" w:name="_Toc27552_WPSOffice_Level1"/>
      <w:bookmarkStart w:id="81" w:name="_Toc5145_WPSOffice_Level1"/>
      <w:bookmarkStart w:id="82" w:name="_Toc17394_WPSOffice_Level1"/>
      <w:bookmarkStart w:id="83" w:name="_Toc1914_WPSOffice_Level1"/>
      <w:r>
        <w:rPr>
          <w:rFonts w:ascii="Times New Roman" w:hAnsi="Times New Roman" w:eastAsia="黑体" w:cs="Times New Roman"/>
          <w:sz w:val="50"/>
          <w:szCs w:val="50"/>
          <w:highlight w:val="none"/>
        </w:rPr>
        <w:t>响应文件</w:t>
      </w:r>
      <w:bookmarkEnd w:id="80"/>
      <w:bookmarkEnd w:id="81"/>
      <w:bookmarkEnd w:id="82"/>
      <w:bookmarkEnd w:id="83"/>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8"/>
          <w:szCs w:val="28"/>
          <w:highlight w:val="none"/>
        </w:rPr>
      </w:pPr>
      <w:bookmarkStart w:id="84" w:name="_Toc25232_WPSOffice_Level2"/>
      <w:bookmarkStart w:id="85" w:name="_Toc5520_WPSOffice_Level2"/>
      <w:r>
        <w:rPr>
          <w:rFonts w:ascii="Times New Roman" w:hAnsi="Times New Roman" w:eastAsia="黑体" w:cs="Times New Roman"/>
          <w:sz w:val="28"/>
          <w:szCs w:val="28"/>
          <w:highlight w:val="none"/>
        </w:rPr>
        <w:t>供应商：</w:t>
      </w:r>
      <w:r>
        <w:rPr>
          <w:rFonts w:ascii="Times New Roman" w:hAnsi="Times New Roman" w:eastAsia="黑体" w:cs="Times New Roman"/>
          <w:sz w:val="28"/>
          <w:szCs w:val="28"/>
          <w:highlight w:val="none"/>
          <w:u w:val="single"/>
        </w:rPr>
        <w:t xml:space="preserve">            (全称、盖单位章)</w:t>
      </w:r>
      <w:bookmarkEnd w:id="84"/>
      <w:bookmarkEnd w:id="85"/>
    </w:p>
    <w:p>
      <w:pPr>
        <w:spacing w:line="440" w:lineRule="exact"/>
        <w:ind w:firstLine="2158" w:firstLineChars="771"/>
        <w:rPr>
          <w:rFonts w:ascii="Times New Roman" w:hAnsi="Times New Roman" w:eastAsia="黑体" w:cs="Times New Roman"/>
          <w:sz w:val="28"/>
          <w:szCs w:val="28"/>
          <w:highlight w:val="none"/>
        </w:rPr>
      </w:pPr>
    </w:p>
    <w:p>
      <w:pPr>
        <w:spacing w:line="440" w:lineRule="exact"/>
        <w:jc w:val="center"/>
        <w:rPr>
          <w:rFonts w:ascii="Times New Roman" w:hAnsi="Times New Roman" w:eastAsia="黑体" w:cs="Times New Roman"/>
          <w:sz w:val="28"/>
          <w:szCs w:val="28"/>
          <w:highlight w:val="none"/>
        </w:rPr>
      </w:pPr>
      <w:bookmarkStart w:id="86" w:name="_Toc20076_WPSOffice_Level2"/>
      <w:bookmarkStart w:id="87" w:name="_Toc31577_WPSOffice_Level2"/>
      <w:r>
        <w:rPr>
          <w:rFonts w:ascii="Times New Roman" w:hAnsi="Times New Roman" w:eastAsia="黑体" w:cs="Times New Roman"/>
          <w:sz w:val="28"/>
          <w:szCs w:val="28"/>
          <w:highlight w:val="none"/>
        </w:rPr>
        <w:t>年</w:t>
      </w:r>
      <w:r>
        <w:rPr>
          <w:rFonts w:hint="eastAsia" w:ascii="Times New Roman" w:hAnsi="Times New Roman" w:eastAsia="黑体" w:cs="Times New Roman"/>
          <w:sz w:val="28"/>
          <w:szCs w:val="28"/>
          <w:highlight w:val="none"/>
          <w:lang w:val="en-US" w:eastAsia="zh-CN"/>
        </w:rPr>
        <w:t xml:space="preserve">   </w:t>
      </w:r>
      <w:r>
        <w:rPr>
          <w:rFonts w:hint="eastAsia" w:ascii="Times New Roman" w:hAnsi="Times New Roman" w:eastAsia="黑体" w:cs="Times New Roman"/>
          <w:sz w:val="28"/>
          <w:szCs w:val="28"/>
          <w:highlight w:val="none"/>
        </w:rPr>
        <w:t xml:space="preserve"> </w:t>
      </w:r>
      <w:r>
        <w:rPr>
          <w:rFonts w:ascii="Times New Roman" w:hAnsi="Times New Roman" w:eastAsia="黑体" w:cs="Times New Roman"/>
          <w:sz w:val="28"/>
          <w:szCs w:val="28"/>
          <w:highlight w:val="none"/>
        </w:rPr>
        <w:t>月</w:t>
      </w:r>
      <w:r>
        <w:rPr>
          <w:rFonts w:hint="eastAsia" w:ascii="Times New Roman" w:hAnsi="Times New Roman" w:eastAsia="黑体" w:cs="Times New Roman"/>
          <w:sz w:val="28"/>
          <w:szCs w:val="28"/>
          <w:highlight w:val="none"/>
          <w:lang w:val="en-US" w:eastAsia="zh-CN"/>
        </w:rPr>
        <w:t xml:space="preserve">  </w:t>
      </w:r>
      <w:r>
        <w:rPr>
          <w:rFonts w:hint="eastAsia" w:ascii="Times New Roman" w:hAnsi="Times New Roman" w:eastAsia="黑体" w:cs="Times New Roman"/>
          <w:sz w:val="28"/>
          <w:szCs w:val="28"/>
          <w:highlight w:val="none"/>
        </w:rPr>
        <w:t xml:space="preserve"> </w:t>
      </w:r>
      <w:r>
        <w:rPr>
          <w:rFonts w:ascii="Times New Roman" w:hAnsi="Times New Roman" w:eastAsia="黑体" w:cs="Times New Roman"/>
          <w:sz w:val="28"/>
          <w:szCs w:val="28"/>
          <w:highlight w:val="none"/>
        </w:rPr>
        <w:t>日</w:t>
      </w:r>
      <w:bookmarkEnd w:id="86"/>
      <w:bookmarkEnd w:id="87"/>
    </w:p>
    <w:p>
      <w:pPr>
        <w:spacing w:line="440" w:lineRule="exact"/>
        <w:jc w:val="center"/>
        <w:rPr>
          <w:rFonts w:ascii="Times New Roman" w:hAnsi="Times New Roman" w:eastAsia="黑体" w:cs="Times New Roman"/>
          <w:sz w:val="20"/>
          <w:szCs w:val="20"/>
          <w:highlight w:val="none"/>
        </w:rPr>
      </w:pPr>
      <w:r>
        <w:rPr>
          <w:rFonts w:ascii="Times New Roman" w:hAnsi="Times New Roman" w:eastAsia="黑体" w:cs="Times New Roman"/>
          <w:sz w:val="20"/>
          <w:szCs w:val="20"/>
          <w:highlight w:val="none"/>
        </w:rPr>
        <w:br w:type="page"/>
      </w:r>
      <w:bookmarkStart w:id="88" w:name="_Toc21974_WPSOffice_Level2"/>
      <w:bookmarkStart w:id="89" w:name="_Toc22351_WPSOffice_Level2"/>
    </w:p>
    <w:p>
      <w:pPr>
        <w:jc w:val="center"/>
        <w:rPr>
          <w:b/>
          <w:sz w:val="32"/>
          <w:szCs w:val="32"/>
          <w:highlight w:val="none"/>
        </w:rPr>
      </w:pPr>
      <w:bookmarkStart w:id="90" w:name="_Toc524462521"/>
      <w:bookmarkStart w:id="91" w:name="_Toc479262713"/>
      <w:bookmarkStart w:id="92" w:name="_Toc530142180"/>
      <w:bookmarkStart w:id="93" w:name="_Toc26700787"/>
      <w:r>
        <w:rPr>
          <w:rFonts w:hint="eastAsia"/>
          <w:b/>
          <w:sz w:val="32"/>
          <w:szCs w:val="32"/>
          <w:highlight w:val="none"/>
        </w:rPr>
        <w:t>评审因素索引表</w:t>
      </w:r>
      <w:bookmarkEnd w:id="90"/>
      <w:bookmarkEnd w:id="91"/>
      <w:bookmarkEnd w:id="92"/>
      <w:bookmarkEnd w:id="93"/>
    </w:p>
    <w:p>
      <w:pPr>
        <w:jc w:val="center"/>
        <w:rPr>
          <w:sz w:val="24"/>
          <w:highlight w:val="none"/>
        </w:rPr>
      </w:pPr>
    </w:p>
    <w:tbl>
      <w:tblPr>
        <w:tblStyle w:val="14"/>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b/>
                <w:sz w:val="24"/>
                <w:highlight w:val="none"/>
              </w:rPr>
            </w:pPr>
            <w:bookmarkStart w:id="94" w:name="_Toc256695443"/>
            <w:bookmarkStart w:id="95" w:name="_Toc256691567"/>
            <w:r>
              <w:rPr>
                <w:rFonts w:hint="eastAsia"/>
                <w:b/>
                <w:sz w:val="24"/>
                <w:highlight w:val="none"/>
              </w:rPr>
              <w:t>序号</w:t>
            </w:r>
            <w:bookmarkEnd w:id="94"/>
            <w:bookmarkEnd w:id="95"/>
          </w:p>
        </w:tc>
        <w:tc>
          <w:tcPr>
            <w:tcW w:w="4820" w:type="dxa"/>
            <w:vAlign w:val="center"/>
          </w:tcPr>
          <w:p>
            <w:pPr>
              <w:jc w:val="center"/>
              <w:rPr>
                <w:b/>
                <w:sz w:val="24"/>
                <w:highlight w:val="none"/>
              </w:rPr>
            </w:pPr>
            <w:bookmarkStart w:id="96" w:name="_Toc256695444"/>
            <w:bookmarkStart w:id="97" w:name="_Toc256691568"/>
            <w:r>
              <w:rPr>
                <w:rFonts w:hint="eastAsia"/>
                <w:b/>
                <w:sz w:val="24"/>
                <w:highlight w:val="none"/>
              </w:rPr>
              <w:t>评审因素</w:t>
            </w:r>
            <w:bookmarkEnd w:id="96"/>
            <w:bookmarkEnd w:id="97"/>
          </w:p>
        </w:tc>
        <w:tc>
          <w:tcPr>
            <w:tcW w:w="3649" w:type="dxa"/>
            <w:vAlign w:val="center"/>
          </w:tcPr>
          <w:p>
            <w:pPr>
              <w:jc w:val="center"/>
              <w:rPr>
                <w:b/>
                <w:sz w:val="24"/>
                <w:highlight w:val="none"/>
              </w:rPr>
            </w:pPr>
            <w:bookmarkStart w:id="98" w:name="_Toc256691569"/>
            <w:bookmarkStart w:id="99" w:name="_Toc256695445"/>
            <w:r>
              <w:rPr>
                <w:rFonts w:hint="eastAsia"/>
                <w:b/>
                <w:sz w:val="24"/>
                <w:highlight w:val="none"/>
                <w:lang w:val="en-US" w:eastAsia="zh-CN"/>
              </w:rPr>
              <w:t>响应</w:t>
            </w:r>
            <w:r>
              <w:rPr>
                <w:rFonts w:hint="eastAsia"/>
                <w:b/>
                <w:sz w:val="24"/>
                <w:highlight w:val="none"/>
              </w:rPr>
              <w:t>文件页码范围</w:t>
            </w:r>
            <w:bookmarkEnd w:id="98"/>
            <w:bookmarkEnd w:id="9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4"/>
                <w:highlight w:val="none"/>
              </w:rPr>
            </w:pPr>
          </w:p>
        </w:tc>
        <w:tc>
          <w:tcPr>
            <w:tcW w:w="4820" w:type="dxa"/>
            <w:vAlign w:val="center"/>
          </w:tcPr>
          <w:p>
            <w:pPr>
              <w:jc w:val="center"/>
              <w:rPr>
                <w:sz w:val="24"/>
                <w:highlight w:val="none"/>
              </w:rPr>
            </w:pPr>
          </w:p>
        </w:tc>
        <w:tc>
          <w:tcPr>
            <w:tcW w:w="3649" w:type="dxa"/>
            <w:vAlign w:val="center"/>
          </w:tcPr>
          <w:p>
            <w:pPr>
              <w:jc w:val="center"/>
              <w:rPr>
                <w:sz w:val="24"/>
                <w:highlight w:val="none"/>
              </w:rPr>
            </w:pPr>
            <w:bookmarkStart w:id="100" w:name="_Toc256691570"/>
            <w:bookmarkStart w:id="101" w:name="_Toc256695446"/>
            <w:r>
              <w:rPr>
                <w:rFonts w:hint="eastAsia"/>
                <w:sz w:val="24"/>
                <w:highlight w:val="none"/>
              </w:rPr>
              <w:t>P---  P</w:t>
            </w:r>
            <w:bookmarkEnd w:id="100"/>
            <w:bookmarkEnd w:id="10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highlight w:val="none"/>
              </w:rPr>
            </w:pPr>
          </w:p>
        </w:tc>
        <w:tc>
          <w:tcPr>
            <w:tcW w:w="4820" w:type="dxa"/>
            <w:vAlign w:val="center"/>
          </w:tcPr>
          <w:p>
            <w:pPr>
              <w:jc w:val="center"/>
              <w:rPr>
                <w:sz w:val="28"/>
                <w:szCs w:val="28"/>
                <w:highlight w:val="none"/>
              </w:rPr>
            </w:pPr>
          </w:p>
        </w:tc>
        <w:tc>
          <w:tcPr>
            <w:tcW w:w="3649" w:type="dxa"/>
            <w:vAlign w:val="center"/>
          </w:tcPr>
          <w:p>
            <w:pPr>
              <w:jc w:val="center"/>
              <w:rPr>
                <w:sz w:val="24"/>
                <w:highlight w:val="none"/>
              </w:rPr>
            </w:pPr>
            <w:bookmarkStart w:id="102" w:name="_Toc256695447"/>
            <w:bookmarkStart w:id="103" w:name="_Toc256691571"/>
            <w:r>
              <w:rPr>
                <w:rFonts w:hint="eastAsia"/>
                <w:sz w:val="24"/>
                <w:highlight w:val="none"/>
              </w:rPr>
              <w:t>P---  P</w:t>
            </w:r>
            <w:bookmarkEnd w:id="102"/>
            <w:bookmarkEnd w:id="10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highlight w:val="none"/>
              </w:rPr>
            </w:pPr>
          </w:p>
        </w:tc>
        <w:tc>
          <w:tcPr>
            <w:tcW w:w="4820" w:type="dxa"/>
            <w:vAlign w:val="center"/>
          </w:tcPr>
          <w:p>
            <w:pPr>
              <w:jc w:val="center"/>
              <w:rPr>
                <w:sz w:val="28"/>
                <w:szCs w:val="28"/>
                <w:highlight w:val="none"/>
              </w:rPr>
            </w:pPr>
          </w:p>
        </w:tc>
        <w:tc>
          <w:tcPr>
            <w:tcW w:w="3649" w:type="dxa"/>
            <w:vAlign w:val="center"/>
          </w:tcPr>
          <w:p>
            <w:pPr>
              <w:jc w:val="center"/>
              <w:rPr>
                <w:sz w:val="24"/>
                <w:highlight w:val="none"/>
              </w:rPr>
            </w:pPr>
            <w:bookmarkStart w:id="104" w:name="_Toc256695448"/>
            <w:bookmarkStart w:id="105" w:name="_Toc256691572"/>
            <w:r>
              <w:rPr>
                <w:rFonts w:hint="eastAsia"/>
                <w:sz w:val="24"/>
                <w:highlight w:val="none"/>
              </w:rPr>
              <w:t>P---  P</w:t>
            </w:r>
            <w:bookmarkEnd w:id="104"/>
            <w:bookmarkEnd w:id="10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highlight w:val="none"/>
              </w:rPr>
            </w:pPr>
          </w:p>
        </w:tc>
        <w:tc>
          <w:tcPr>
            <w:tcW w:w="4820" w:type="dxa"/>
            <w:vAlign w:val="center"/>
          </w:tcPr>
          <w:p>
            <w:pPr>
              <w:jc w:val="center"/>
              <w:rPr>
                <w:sz w:val="28"/>
                <w:szCs w:val="28"/>
                <w:highlight w:val="none"/>
              </w:rPr>
            </w:pPr>
          </w:p>
        </w:tc>
        <w:tc>
          <w:tcPr>
            <w:tcW w:w="3649" w:type="dxa"/>
            <w:vAlign w:val="center"/>
          </w:tcPr>
          <w:p>
            <w:pPr>
              <w:jc w:val="center"/>
              <w:rPr>
                <w:sz w:val="24"/>
                <w:highlight w:val="none"/>
              </w:rPr>
            </w:pPr>
            <w:bookmarkStart w:id="106" w:name="_Toc256695449"/>
            <w:bookmarkStart w:id="107" w:name="_Toc256691573"/>
            <w:r>
              <w:rPr>
                <w:rFonts w:hint="eastAsia"/>
                <w:sz w:val="24"/>
                <w:highlight w:val="none"/>
              </w:rPr>
              <w:t>P---  P</w:t>
            </w:r>
            <w:bookmarkEnd w:id="106"/>
            <w:bookmarkEnd w:id="10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highlight w:val="none"/>
              </w:rPr>
            </w:pPr>
          </w:p>
        </w:tc>
        <w:tc>
          <w:tcPr>
            <w:tcW w:w="4820" w:type="dxa"/>
            <w:vAlign w:val="center"/>
          </w:tcPr>
          <w:p>
            <w:pPr>
              <w:jc w:val="center"/>
              <w:rPr>
                <w:sz w:val="28"/>
                <w:szCs w:val="28"/>
                <w:highlight w:val="none"/>
              </w:rPr>
            </w:pPr>
          </w:p>
        </w:tc>
        <w:tc>
          <w:tcPr>
            <w:tcW w:w="3649" w:type="dxa"/>
            <w:vAlign w:val="center"/>
          </w:tcPr>
          <w:p>
            <w:pPr>
              <w:jc w:val="center"/>
              <w:rPr>
                <w:sz w:val="24"/>
                <w:highlight w:val="none"/>
              </w:rPr>
            </w:pPr>
            <w:bookmarkStart w:id="108" w:name="_Toc256691574"/>
            <w:bookmarkStart w:id="109" w:name="_Toc256695450"/>
            <w:r>
              <w:rPr>
                <w:rFonts w:hint="eastAsia"/>
                <w:sz w:val="24"/>
                <w:highlight w:val="none"/>
              </w:rPr>
              <w:t>P---  P</w:t>
            </w:r>
            <w:bookmarkEnd w:id="108"/>
            <w:bookmarkEnd w:id="10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sz w:val="28"/>
                <w:szCs w:val="28"/>
                <w:highlight w:val="none"/>
              </w:rPr>
            </w:pPr>
          </w:p>
        </w:tc>
        <w:tc>
          <w:tcPr>
            <w:tcW w:w="4820" w:type="dxa"/>
            <w:vAlign w:val="center"/>
          </w:tcPr>
          <w:p>
            <w:pPr>
              <w:jc w:val="center"/>
              <w:rPr>
                <w:sz w:val="28"/>
                <w:szCs w:val="28"/>
                <w:highlight w:val="none"/>
              </w:rPr>
            </w:pPr>
          </w:p>
        </w:tc>
        <w:tc>
          <w:tcPr>
            <w:tcW w:w="3649" w:type="dxa"/>
            <w:vAlign w:val="center"/>
          </w:tcPr>
          <w:p>
            <w:pPr>
              <w:jc w:val="center"/>
              <w:rPr>
                <w:sz w:val="24"/>
                <w:highlight w:val="none"/>
              </w:rPr>
            </w:pPr>
            <w:bookmarkStart w:id="110" w:name="_Toc256695451"/>
            <w:bookmarkStart w:id="111" w:name="_Toc256691575"/>
            <w:r>
              <w:rPr>
                <w:rFonts w:hint="eastAsia"/>
                <w:sz w:val="24"/>
                <w:highlight w:val="none"/>
              </w:rPr>
              <w:t>P---  P</w:t>
            </w:r>
            <w:bookmarkEnd w:id="110"/>
            <w:bookmarkEnd w:id="11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sz w:val="28"/>
                <w:szCs w:val="28"/>
                <w:highlight w:val="none"/>
              </w:rPr>
            </w:pPr>
          </w:p>
        </w:tc>
        <w:tc>
          <w:tcPr>
            <w:tcW w:w="4820" w:type="dxa"/>
            <w:vAlign w:val="center"/>
          </w:tcPr>
          <w:p>
            <w:pPr>
              <w:jc w:val="center"/>
              <w:rPr>
                <w:sz w:val="28"/>
                <w:szCs w:val="28"/>
                <w:highlight w:val="none"/>
              </w:rPr>
            </w:pPr>
          </w:p>
        </w:tc>
        <w:tc>
          <w:tcPr>
            <w:tcW w:w="3649" w:type="dxa"/>
            <w:vAlign w:val="center"/>
          </w:tcPr>
          <w:p>
            <w:pPr>
              <w:jc w:val="center"/>
              <w:rPr>
                <w:sz w:val="24"/>
                <w:highlight w:val="none"/>
              </w:rPr>
            </w:pPr>
            <w:bookmarkStart w:id="112" w:name="_Toc256691576"/>
            <w:bookmarkStart w:id="113" w:name="_Toc256695452"/>
            <w:r>
              <w:rPr>
                <w:rFonts w:hint="eastAsia"/>
                <w:sz w:val="24"/>
                <w:highlight w:val="none"/>
              </w:rPr>
              <w:t>P---  P</w:t>
            </w:r>
            <w:bookmarkEnd w:id="112"/>
            <w:bookmarkEnd w:id="11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sz w:val="28"/>
                <w:szCs w:val="28"/>
                <w:highlight w:val="none"/>
              </w:rPr>
            </w:pPr>
          </w:p>
        </w:tc>
        <w:tc>
          <w:tcPr>
            <w:tcW w:w="4820" w:type="dxa"/>
            <w:vAlign w:val="center"/>
          </w:tcPr>
          <w:p>
            <w:pPr>
              <w:jc w:val="center"/>
              <w:rPr>
                <w:sz w:val="28"/>
                <w:szCs w:val="28"/>
                <w:highlight w:val="none"/>
              </w:rPr>
            </w:pPr>
          </w:p>
        </w:tc>
        <w:tc>
          <w:tcPr>
            <w:tcW w:w="3649" w:type="dxa"/>
            <w:vAlign w:val="center"/>
          </w:tcPr>
          <w:p>
            <w:pPr>
              <w:jc w:val="center"/>
              <w:rPr>
                <w:sz w:val="24"/>
                <w:highlight w:val="none"/>
              </w:rPr>
            </w:pPr>
            <w:bookmarkStart w:id="114" w:name="_Toc256695453"/>
            <w:bookmarkStart w:id="115" w:name="_Toc256691577"/>
            <w:r>
              <w:rPr>
                <w:rFonts w:hint="eastAsia"/>
                <w:sz w:val="24"/>
                <w:highlight w:val="none"/>
              </w:rPr>
              <w:t>P---  P</w:t>
            </w:r>
            <w:bookmarkEnd w:id="114"/>
            <w:bookmarkEnd w:id="11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highlight w:val="none"/>
              </w:rPr>
            </w:pPr>
          </w:p>
        </w:tc>
        <w:tc>
          <w:tcPr>
            <w:tcW w:w="4820" w:type="dxa"/>
            <w:vAlign w:val="center"/>
          </w:tcPr>
          <w:p>
            <w:pPr>
              <w:jc w:val="center"/>
              <w:rPr>
                <w:sz w:val="28"/>
                <w:szCs w:val="28"/>
                <w:highlight w:val="none"/>
              </w:rPr>
            </w:pPr>
          </w:p>
        </w:tc>
        <w:tc>
          <w:tcPr>
            <w:tcW w:w="3649" w:type="dxa"/>
            <w:vAlign w:val="center"/>
          </w:tcPr>
          <w:p>
            <w:pPr>
              <w:jc w:val="center"/>
              <w:rPr>
                <w:sz w:val="24"/>
                <w:highlight w:val="none"/>
              </w:rPr>
            </w:pPr>
            <w:bookmarkStart w:id="116" w:name="_Toc256695454"/>
            <w:bookmarkStart w:id="117" w:name="_Toc256691578"/>
            <w:r>
              <w:rPr>
                <w:rFonts w:hint="eastAsia"/>
                <w:sz w:val="24"/>
                <w:highlight w:val="none"/>
              </w:rPr>
              <w:t>P---  P</w:t>
            </w:r>
            <w:bookmarkEnd w:id="116"/>
            <w:bookmarkEnd w:id="11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jc w:val="center"/>
              <w:rPr>
                <w:sz w:val="28"/>
                <w:szCs w:val="28"/>
                <w:highlight w:val="none"/>
              </w:rPr>
            </w:pPr>
          </w:p>
        </w:tc>
        <w:tc>
          <w:tcPr>
            <w:tcW w:w="4820" w:type="dxa"/>
            <w:vAlign w:val="center"/>
          </w:tcPr>
          <w:p>
            <w:pPr>
              <w:jc w:val="center"/>
              <w:rPr>
                <w:sz w:val="28"/>
                <w:szCs w:val="28"/>
                <w:highlight w:val="none"/>
              </w:rPr>
            </w:pPr>
          </w:p>
        </w:tc>
        <w:tc>
          <w:tcPr>
            <w:tcW w:w="3649" w:type="dxa"/>
            <w:vAlign w:val="center"/>
          </w:tcPr>
          <w:p>
            <w:pPr>
              <w:jc w:val="center"/>
              <w:rPr>
                <w:sz w:val="24"/>
                <w:highlight w:val="none"/>
              </w:rPr>
            </w:pPr>
            <w:bookmarkStart w:id="118" w:name="_Toc256691579"/>
            <w:bookmarkStart w:id="119" w:name="_Toc256695455"/>
            <w:r>
              <w:rPr>
                <w:rFonts w:hint="eastAsia"/>
                <w:sz w:val="24"/>
                <w:highlight w:val="none"/>
              </w:rPr>
              <w:t>P---  P</w:t>
            </w:r>
            <w:bookmarkEnd w:id="118"/>
            <w:bookmarkEnd w:id="11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highlight w:val="none"/>
              </w:rPr>
            </w:pPr>
          </w:p>
        </w:tc>
        <w:tc>
          <w:tcPr>
            <w:tcW w:w="4820" w:type="dxa"/>
            <w:vAlign w:val="center"/>
          </w:tcPr>
          <w:p>
            <w:pPr>
              <w:jc w:val="center"/>
              <w:rPr>
                <w:sz w:val="28"/>
                <w:szCs w:val="28"/>
                <w:highlight w:val="none"/>
              </w:rPr>
            </w:pPr>
          </w:p>
        </w:tc>
        <w:tc>
          <w:tcPr>
            <w:tcW w:w="3649" w:type="dxa"/>
            <w:vAlign w:val="center"/>
          </w:tcPr>
          <w:p>
            <w:pPr>
              <w:jc w:val="center"/>
              <w:rPr>
                <w:sz w:val="28"/>
                <w:szCs w:val="28"/>
                <w:highlight w:val="none"/>
              </w:rPr>
            </w:pPr>
            <w:bookmarkStart w:id="120" w:name="_Toc256691580"/>
            <w:bookmarkStart w:id="121" w:name="_Toc256695456"/>
            <w:r>
              <w:rPr>
                <w:rFonts w:hint="eastAsia"/>
                <w:sz w:val="24"/>
                <w:highlight w:val="none"/>
              </w:rPr>
              <w:t>P---  P</w:t>
            </w:r>
            <w:bookmarkEnd w:id="120"/>
            <w:bookmarkEnd w:id="12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highlight w:val="none"/>
              </w:rPr>
            </w:pPr>
          </w:p>
        </w:tc>
        <w:tc>
          <w:tcPr>
            <w:tcW w:w="4820" w:type="dxa"/>
            <w:vAlign w:val="center"/>
          </w:tcPr>
          <w:p>
            <w:pPr>
              <w:jc w:val="center"/>
              <w:rPr>
                <w:sz w:val="28"/>
                <w:szCs w:val="28"/>
                <w:highlight w:val="none"/>
              </w:rPr>
            </w:pPr>
          </w:p>
        </w:tc>
        <w:tc>
          <w:tcPr>
            <w:tcW w:w="3649" w:type="dxa"/>
            <w:vAlign w:val="center"/>
          </w:tcPr>
          <w:p>
            <w:pPr>
              <w:jc w:val="center"/>
              <w:rPr>
                <w:sz w:val="24"/>
                <w:highlight w:val="none"/>
              </w:rPr>
            </w:pPr>
            <w:bookmarkStart w:id="122" w:name="_Toc256695457"/>
            <w:bookmarkStart w:id="123" w:name="_Toc256691581"/>
            <w:r>
              <w:rPr>
                <w:rFonts w:hint="eastAsia"/>
                <w:sz w:val="24"/>
                <w:highlight w:val="none"/>
              </w:rPr>
              <w:t>P---  P</w:t>
            </w:r>
            <w:bookmarkEnd w:id="122"/>
            <w:bookmarkEnd w:id="1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highlight w:val="none"/>
              </w:rPr>
            </w:pPr>
          </w:p>
        </w:tc>
        <w:tc>
          <w:tcPr>
            <w:tcW w:w="4820" w:type="dxa"/>
            <w:vAlign w:val="center"/>
          </w:tcPr>
          <w:p>
            <w:pPr>
              <w:jc w:val="center"/>
              <w:rPr>
                <w:sz w:val="28"/>
                <w:szCs w:val="28"/>
                <w:highlight w:val="none"/>
              </w:rPr>
            </w:pPr>
          </w:p>
        </w:tc>
        <w:tc>
          <w:tcPr>
            <w:tcW w:w="3649" w:type="dxa"/>
            <w:vAlign w:val="center"/>
          </w:tcPr>
          <w:p>
            <w:pPr>
              <w:jc w:val="center"/>
              <w:rPr>
                <w:sz w:val="28"/>
                <w:szCs w:val="28"/>
                <w:highlight w:val="none"/>
              </w:rPr>
            </w:pPr>
            <w:bookmarkStart w:id="124" w:name="_Toc256691582"/>
            <w:bookmarkStart w:id="125" w:name="_Toc256695458"/>
            <w:r>
              <w:rPr>
                <w:rFonts w:hint="eastAsia"/>
                <w:sz w:val="24"/>
                <w:highlight w:val="none"/>
              </w:rPr>
              <w:t>P---  P</w:t>
            </w:r>
            <w:bookmarkEnd w:id="124"/>
            <w:bookmarkEnd w:id="12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jc w:val="center"/>
              <w:rPr>
                <w:sz w:val="28"/>
                <w:szCs w:val="28"/>
                <w:highlight w:val="none"/>
              </w:rPr>
            </w:pPr>
          </w:p>
        </w:tc>
        <w:tc>
          <w:tcPr>
            <w:tcW w:w="4820" w:type="dxa"/>
            <w:vAlign w:val="center"/>
          </w:tcPr>
          <w:p>
            <w:pPr>
              <w:jc w:val="center"/>
              <w:rPr>
                <w:sz w:val="28"/>
                <w:szCs w:val="28"/>
                <w:highlight w:val="none"/>
              </w:rPr>
            </w:pPr>
            <w:bookmarkStart w:id="126" w:name="_Toc256691583"/>
            <w:bookmarkStart w:id="127" w:name="_Toc256695459"/>
            <w:r>
              <w:rPr>
                <w:rFonts w:hint="eastAsia"/>
                <w:sz w:val="28"/>
                <w:szCs w:val="28"/>
                <w:highlight w:val="none"/>
              </w:rPr>
              <w:t>……</w:t>
            </w:r>
            <w:bookmarkEnd w:id="126"/>
            <w:bookmarkEnd w:id="127"/>
          </w:p>
        </w:tc>
        <w:tc>
          <w:tcPr>
            <w:tcW w:w="3649" w:type="dxa"/>
            <w:vAlign w:val="center"/>
          </w:tcPr>
          <w:p>
            <w:pPr>
              <w:jc w:val="center"/>
              <w:rPr>
                <w:sz w:val="24"/>
                <w:highlight w:val="none"/>
              </w:rPr>
            </w:pPr>
            <w:bookmarkStart w:id="128" w:name="_Toc256695460"/>
            <w:bookmarkStart w:id="129" w:name="_Toc256691584"/>
            <w:r>
              <w:rPr>
                <w:rFonts w:hint="eastAsia"/>
                <w:sz w:val="28"/>
                <w:szCs w:val="28"/>
                <w:highlight w:val="none"/>
              </w:rPr>
              <w:t>……</w:t>
            </w:r>
            <w:bookmarkEnd w:id="128"/>
            <w:bookmarkEnd w:id="129"/>
          </w:p>
        </w:tc>
      </w:tr>
    </w:tbl>
    <w:p>
      <w:pPr>
        <w:spacing w:line="440" w:lineRule="exact"/>
        <w:jc w:val="center"/>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目录</w:t>
      </w:r>
      <w:bookmarkEnd w:id="88"/>
      <w:bookmarkEnd w:id="89"/>
    </w:p>
    <w:p>
      <w:pPr>
        <w:spacing w:line="440" w:lineRule="exact"/>
        <w:rPr>
          <w:rFonts w:ascii="Times New Roman" w:hAnsi="Times New Roman" w:eastAsia="黑体" w:cs="Times New Roman"/>
          <w:sz w:val="20"/>
          <w:szCs w:val="20"/>
          <w:highlight w:val="none"/>
        </w:rPr>
      </w:pPr>
    </w:p>
    <w:p>
      <w:pPr>
        <w:spacing w:line="440" w:lineRule="exact"/>
        <w:ind w:left="1619" w:leftChars="771"/>
        <w:rPr>
          <w:rFonts w:ascii="Times New Roman" w:hAnsi="Times New Roman" w:eastAsia="黑体" w:cs="Times New Roman"/>
          <w:sz w:val="24"/>
          <w:highlight w:val="none"/>
        </w:rPr>
      </w:pPr>
      <w:bookmarkStart w:id="130" w:name="_Toc23368_WPSOffice_Level1"/>
      <w:bookmarkStart w:id="131" w:name="_Toc30529_WPSOffice_Level1"/>
      <w:bookmarkStart w:id="132" w:name="_Toc6353_WPSOffice_Level1"/>
      <w:bookmarkStart w:id="133" w:name="_Toc11424_WPSOffice_Level1"/>
      <w:bookmarkStart w:id="134" w:name="_Toc12670_WPSOffice_Level1"/>
      <w:r>
        <w:rPr>
          <w:rFonts w:ascii="Times New Roman" w:hAnsi="Times New Roman" w:eastAsia="黑体" w:cs="Times New Roman"/>
          <w:sz w:val="24"/>
          <w:highlight w:val="none"/>
        </w:rPr>
        <w:t>一、报价函</w:t>
      </w:r>
      <w:bookmarkEnd w:id="130"/>
      <w:bookmarkEnd w:id="131"/>
      <w:bookmarkEnd w:id="132"/>
      <w:bookmarkEnd w:id="133"/>
    </w:p>
    <w:p>
      <w:pPr>
        <w:spacing w:line="440" w:lineRule="exact"/>
        <w:ind w:left="1619" w:leftChars="771"/>
        <w:rPr>
          <w:rFonts w:ascii="Times New Roman" w:hAnsi="Times New Roman" w:eastAsia="黑体" w:cs="Times New Roman"/>
          <w:sz w:val="24"/>
          <w:highlight w:val="none"/>
        </w:rPr>
      </w:pPr>
      <w:bookmarkStart w:id="135" w:name="_Toc32729_WPSOffice_Level1"/>
      <w:bookmarkStart w:id="136" w:name="_Toc21229_WPSOffice_Level1"/>
      <w:bookmarkStart w:id="137" w:name="_Toc31927_WPSOffice_Level1"/>
      <w:bookmarkStart w:id="138" w:name="_Toc5317_WPSOffice_Level1"/>
      <w:r>
        <w:rPr>
          <w:rFonts w:ascii="Times New Roman" w:hAnsi="Times New Roman" w:eastAsia="黑体" w:cs="Times New Roman"/>
          <w:sz w:val="24"/>
          <w:highlight w:val="none"/>
        </w:rPr>
        <w:t>二、法定代表人身份证明及授权委托书</w:t>
      </w:r>
      <w:bookmarkEnd w:id="135"/>
      <w:bookmarkEnd w:id="136"/>
      <w:bookmarkEnd w:id="137"/>
      <w:bookmarkEnd w:id="138"/>
    </w:p>
    <w:p>
      <w:pPr>
        <w:spacing w:line="440" w:lineRule="exact"/>
        <w:ind w:left="1619" w:leftChars="771"/>
        <w:rPr>
          <w:rFonts w:ascii="Times New Roman" w:hAnsi="Times New Roman" w:eastAsia="黑体" w:cs="Times New Roman"/>
          <w:sz w:val="24"/>
          <w:highlight w:val="none"/>
        </w:rPr>
      </w:pPr>
      <w:bookmarkStart w:id="139" w:name="_Toc4728_WPSOffice_Level1"/>
      <w:bookmarkStart w:id="140" w:name="_Toc25965_WPSOffice_Level1"/>
      <w:bookmarkStart w:id="141" w:name="_Toc23356_WPSOffice_Level1"/>
      <w:bookmarkStart w:id="142" w:name="_Toc29085_WPSOffice_Level1"/>
      <w:r>
        <w:rPr>
          <w:rFonts w:hint="eastAsia" w:ascii="Times New Roman" w:hAnsi="Times New Roman" w:eastAsia="黑体" w:cs="Times New Roman"/>
          <w:sz w:val="24"/>
          <w:highlight w:val="none"/>
        </w:rPr>
        <w:t>三</w:t>
      </w:r>
      <w:r>
        <w:rPr>
          <w:rFonts w:ascii="Times New Roman" w:hAnsi="Times New Roman" w:eastAsia="黑体" w:cs="Times New Roman"/>
          <w:sz w:val="24"/>
          <w:highlight w:val="none"/>
        </w:rPr>
        <w:t>、已标价</w:t>
      </w:r>
      <w:r>
        <w:rPr>
          <w:rFonts w:hint="eastAsia" w:ascii="Times New Roman" w:hAnsi="Times New Roman" w:eastAsia="黑体" w:cs="Times New Roman"/>
          <w:sz w:val="24"/>
          <w:highlight w:val="none"/>
        </w:rPr>
        <w:t>的</w:t>
      </w:r>
      <w:bookmarkEnd w:id="139"/>
      <w:bookmarkEnd w:id="140"/>
      <w:bookmarkEnd w:id="141"/>
      <w:bookmarkEnd w:id="142"/>
      <w:r>
        <w:rPr>
          <w:rFonts w:hint="eastAsia" w:ascii="Times New Roman" w:hAnsi="Times New Roman" w:eastAsia="黑体" w:cs="Times New Roman"/>
          <w:sz w:val="24"/>
          <w:highlight w:val="none"/>
        </w:rPr>
        <w:t>报价清单</w:t>
      </w:r>
    </w:p>
    <w:p>
      <w:pPr>
        <w:spacing w:line="440" w:lineRule="exact"/>
        <w:ind w:left="1619" w:leftChars="771"/>
        <w:rPr>
          <w:rFonts w:ascii="Times New Roman" w:hAnsi="Times New Roman" w:eastAsia="黑体" w:cs="Times New Roman"/>
          <w:sz w:val="24"/>
          <w:highlight w:val="none"/>
        </w:rPr>
      </w:pPr>
      <w:bookmarkStart w:id="143" w:name="_Toc18964_WPSOffice_Level1"/>
      <w:bookmarkStart w:id="144" w:name="_Toc23744_WPSOffice_Level1"/>
      <w:bookmarkStart w:id="145" w:name="_Toc10608_WPSOffice_Level1"/>
      <w:bookmarkStart w:id="146" w:name="_Toc7453_WPSOffice_Level1"/>
      <w:r>
        <w:rPr>
          <w:rFonts w:hint="eastAsia" w:ascii="Times New Roman" w:hAnsi="Times New Roman" w:eastAsia="黑体" w:cs="Times New Roman"/>
          <w:sz w:val="24"/>
          <w:highlight w:val="none"/>
        </w:rPr>
        <w:t>四</w:t>
      </w:r>
      <w:r>
        <w:rPr>
          <w:rFonts w:ascii="Times New Roman" w:hAnsi="Times New Roman" w:eastAsia="黑体" w:cs="Times New Roman"/>
          <w:sz w:val="24"/>
          <w:highlight w:val="none"/>
        </w:rPr>
        <w:t>、</w:t>
      </w:r>
      <w:bookmarkEnd w:id="143"/>
      <w:bookmarkEnd w:id="144"/>
      <w:bookmarkEnd w:id="145"/>
      <w:bookmarkEnd w:id="146"/>
      <w:r>
        <w:rPr>
          <w:rFonts w:hint="eastAsia" w:ascii="Times New Roman" w:hAnsi="Times New Roman" w:eastAsia="黑体" w:cs="Times New Roman"/>
          <w:sz w:val="24"/>
          <w:highlight w:val="none"/>
        </w:rPr>
        <w:t>供应商基本情况</w:t>
      </w:r>
    </w:p>
    <w:p>
      <w:pPr>
        <w:spacing w:line="440" w:lineRule="exact"/>
        <w:ind w:left="1619" w:leftChars="771"/>
        <w:rPr>
          <w:rFonts w:ascii="Times New Roman" w:hAnsi="Times New Roman" w:eastAsia="黑体" w:cs="Times New Roman"/>
          <w:sz w:val="24"/>
          <w:highlight w:val="none"/>
        </w:rPr>
      </w:pPr>
      <w:bookmarkStart w:id="147" w:name="_Toc31314_WPSOffice_Level1"/>
      <w:bookmarkStart w:id="148" w:name="_Toc24082_WPSOffice_Level1"/>
      <w:bookmarkStart w:id="149" w:name="_Toc12459_WPSOffice_Level1"/>
      <w:bookmarkStart w:id="150" w:name="_Toc24262_WPSOffice_Level1"/>
      <w:r>
        <w:rPr>
          <w:rFonts w:hint="eastAsia" w:ascii="Times New Roman" w:hAnsi="Times New Roman" w:eastAsia="黑体" w:cs="Times New Roman"/>
          <w:sz w:val="24"/>
          <w:highlight w:val="none"/>
          <w:lang w:val="en-US" w:eastAsia="zh-CN"/>
        </w:rPr>
        <w:t>五</w:t>
      </w:r>
      <w:r>
        <w:rPr>
          <w:rFonts w:ascii="Times New Roman" w:hAnsi="Times New Roman" w:eastAsia="黑体" w:cs="Times New Roman"/>
          <w:sz w:val="24"/>
          <w:highlight w:val="none"/>
        </w:rPr>
        <w:t>、</w:t>
      </w:r>
      <w:bookmarkEnd w:id="147"/>
      <w:bookmarkEnd w:id="148"/>
      <w:r>
        <w:rPr>
          <w:rFonts w:hint="eastAsia" w:ascii="Times New Roman" w:hAnsi="Times New Roman" w:eastAsia="黑体" w:cs="Times New Roman"/>
          <w:sz w:val="24"/>
          <w:highlight w:val="none"/>
        </w:rPr>
        <w:t>信誉情况</w:t>
      </w:r>
    </w:p>
    <w:bookmarkEnd w:id="149"/>
    <w:bookmarkEnd w:id="150"/>
    <w:p>
      <w:pPr>
        <w:spacing w:line="440" w:lineRule="exact"/>
        <w:ind w:left="1619" w:leftChars="771"/>
        <w:rPr>
          <w:rFonts w:ascii="Times New Roman" w:hAnsi="Times New Roman" w:eastAsia="黑体" w:cs="Times New Roman"/>
          <w:sz w:val="24"/>
          <w:highlight w:val="none"/>
        </w:rPr>
      </w:pPr>
      <w:bookmarkStart w:id="151" w:name="_Toc30273_WPSOffice_Level1"/>
      <w:bookmarkStart w:id="152" w:name="_Toc32648_WPSOffice_Level1"/>
      <w:bookmarkStart w:id="153" w:name="_Toc27403_WPSOffice_Level1"/>
      <w:bookmarkStart w:id="154" w:name="_Toc25804_WPSOffice_Level1"/>
      <w:r>
        <w:rPr>
          <w:rFonts w:hint="eastAsia" w:ascii="Times New Roman" w:hAnsi="Times New Roman" w:eastAsia="黑体" w:cs="Times New Roman"/>
          <w:sz w:val="24"/>
          <w:highlight w:val="none"/>
          <w:lang w:val="en-US" w:eastAsia="zh-CN"/>
        </w:rPr>
        <w:t>六</w:t>
      </w:r>
      <w:r>
        <w:rPr>
          <w:rFonts w:ascii="Times New Roman" w:hAnsi="Times New Roman" w:eastAsia="黑体" w:cs="Times New Roman"/>
          <w:sz w:val="24"/>
          <w:highlight w:val="none"/>
        </w:rPr>
        <w:t>、</w:t>
      </w:r>
      <w:bookmarkEnd w:id="151"/>
      <w:bookmarkEnd w:id="152"/>
      <w:bookmarkEnd w:id="153"/>
      <w:bookmarkEnd w:id="154"/>
      <w:r>
        <w:rPr>
          <w:rFonts w:hint="eastAsia" w:ascii="Times New Roman" w:hAnsi="Times New Roman" w:eastAsia="黑体" w:cs="Times New Roman"/>
          <w:sz w:val="24"/>
          <w:highlight w:val="none"/>
        </w:rPr>
        <w:t>技术性能（质量）指标描述</w:t>
      </w:r>
    </w:p>
    <w:bookmarkEnd w:id="134"/>
    <w:p>
      <w:pPr>
        <w:spacing w:line="440" w:lineRule="exact"/>
        <w:ind w:left="1619" w:leftChars="771"/>
        <w:rPr>
          <w:rFonts w:hint="eastAsia" w:ascii="Times New Roman" w:hAnsi="Times New Roman" w:eastAsia="黑体" w:cs="Times New Roman"/>
          <w:sz w:val="24"/>
          <w:highlight w:val="none"/>
        </w:rPr>
      </w:pPr>
      <w:r>
        <w:rPr>
          <w:rFonts w:hint="eastAsia" w:ascii="Times New Roman" w:hAnsi="Times New Roman" w:eastAsia="黑体" w:cs="Times New Roman"/>
          <w:sz w:val="24"/>
          <w:highlight w:val="none"/>
        </w:rPr>
        <w:t>七、技术实力</w:t>
      </w:r>
    </w:p>
    <w:p>
      <w:pPr>
        <w:spacing w:line="440" w:lineRule="exact"/>
        <w:ind w:left="1619" w:leftChars="771"/>
        <w:rPr>
          <w:rFonts w:hint="eastAsia" w:ascii="Times New Roman" w:hAnsi="Times New Roman" w:eastAsia="黑体" w:cs="Times New Roman"/>
          <w:sz w:val="24"/>
          <w:highlight w:val="none"/>
        </w:rPr>
      </w:pPr>
      <w:r>
        <w:rPr>
          <w:rFonts w:hint="eastAsia" w:ascii="Times New Roman" w:hAnsi="Times New Roman" w:eastAsia="黑体" w:cs="Times New Roman"/>
          <w:sz w:val="24"/>
          <w:highlight w:val="none"/>
        </w:rPr>
        <w:t>八、服务方案</w:t>
      </w:r>
    </w:p>
    <w:p>
      <w:pPr>
        <w:spacing w:line="440" w:lineRule="exact"/>
        <w:ind w:left="1619" w:leftChars="771"/>
        <w:rPr>
          <w:rFonts w:ascii="Times New Roman" w:hAnsi="Times New Roman" w:eastAsia="黑体" w:cs="Times New Roman"/>
          <w:sz w:val="24"/>
          <w:highlight w:val="none"/>
        </w:rPr>
      </w:pPr>
      <w:r>
        <w:rPr>
          <w:rFonts w:hint="eastAsia" w:ascii="Times New Roman" w:hAnsi="Times New Roman" w:eastAsia="黑体" w:cs="Times New Roman"/>
          <w:sz w:val="24"/>
          <w:highlight w:val="none"/>
        </w:rPr>
        <w:t>九、其他资料</w:t>
      </w:r>
    </w:p>
    <w:p>
      <w:pPr>
        <w:numPr>
          <w:ilvl w:val="0"/>
          <w:numId w:val="5"/>
        </w:numPr>
        <w:spacing w:line="440" w:lineRule="exact"/>
        <w:jc w:val="center"/>
        <w:rPr>
          <w:highlight w:val="none"/>
        </w:rPr>
      </w:pPr>
      <w:r>
        <w:rPr>
          <w:rFonts w:ascii="Times New Roman" w:hAnsi="Times New Roman" w:eastAsia="黑体" w:cs="Times New Roman"/>
          <w:sz w:val="20"/>
          <w:szCs w:val="20"/>
          <w:highlight w:val="none"/>
        </w:rPr>
        <w:br w:type="page"/>
      </w:r>
      <w:bookmarkStart w:id="155" w:name="_Toc2765_WPSOffice_Level1"/>
      <w:bookmarkStart w:id="156" w:name="_Toc18312_WPSOffice_Level1"/>
      <w:bookmarkStart w:id="157" w:name="_Toc1687_WPSOffice_Level1"/>
      <w:bookmarkStart w:id="158" w:name="_Toc29399_WPSOffice_Level1"/>
      <w:bookmarkStart w:id="159" w:name="_Toc30031_WPSOffice_Level1"/>
      <w:r>
        <w:rPr>
          <w:rFonts w:ascii="Times New Roman" w:hAnsi="Times New Roman" w:eastAsia="黑体" w:cs="Times New Roman"/>
          <w:sz w:val="28"/>
          <w:szCs w:val="28"/>
          <w:highlight w:val="none"/>
        </w:rPr>
        <w:t>报价函</w:t>
      </w:r>
      <w:bookmarkEnd w:id="155"/>
      <w:bookmarkEnd w:id="156"/>
      <w:bookmarkEnd w:id="157"/>
      <w:bookmarkEnd w:id="158"/>
      <w:bookmarkEnd w:id="159"/>
    </w:p>
    <w:p>
      <w:pPr>
        <w:spacing w:line="440" w:lineRule="exact"/>
        <w:rPr>
          <w:rFonts w:ascii="Times New Roman" w:hAnsi="Times New Roman" w:cs="Times New Roman"/>
          <w:sz w:val="24"/>
          <w:highlight w:val="none"/>
        </w:rPr>
      </w:pPr>
      <w:r>
        <w:rPr>
          <w:rFonts w:ascii="Times New Roman" w:hAnsi="Times New Roman" w:cs="Times New Roman"/>
          <w:sz w:val="24"/>
          <w:highlight w:val="none"/>
        </w:rPr>
        <w:t>(采购人名称)：</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1．我方已仔细研究了</w:t>
      </w:r>
      <w:r>
        <w:rPr>
          <w:rFonts w:hint="eastAsia" w:ascii="Times New Roman" w:hAnsi="Times New Roman" w:cs="Times New Roman"/>
          <w:szCs w:val="22"/>
          <w:highlight w:val="none"/>
          <w:u w:val="single"/>
        </w:rPr>
        <w:t>第</w:t>
      </w:r>
      <w:r>
        <w:rPr>
          <w:rFonts w:ascii="Times New Roman" w:hAnsi="Times New Roman" w:cs="Times New Roman"/>
          <w:sz w:val="24"/>
          <w:highlight w:val="none"/>
        </w:rPr>
        <w:t>合同包询比文件的全部内容，愿意以人民币(大写)(小写：¥)的总报价，</w:t>
      </w:r>
      <w:r>
        <w:rPr>
          <w:rFonts w:hint="eastAsia" w:ascii="Times New Roman" w:hAnsi="Times New Roman" w:cs="Times New Roman"/>
          <w:sz w:val="24"/>
          <w:highlight w:val="none"/>
        </w:rPr>
        <w:t>交货期</w:t>
      </w:r>
      <w:r>
        <w:rPr>
          <w:rFonts w:ascii="Times New Roman" w:hAnsi="Times New Roman" w:cs="Times New Roman"/>
          <w:sz w:val="24"/>
          <w:highlight w:val="none"/>
        </w:rPr>
        <w:t>，按合同约定实施和完成</w:t>
      </w:r>
      <w:r>
        <w:rPr>
          <w:rFonts w:hint="eastAsia" w:ascii="Times New Roman" w:hAnsi="Times New Roman" w:cs="Times New Roman"/>
          <w:sz w:val="24"/>
          <w:highlight w:val="none"/>
        </w:rPr>
        <w:t>供货及提供相关服务</w:t>
      </w:r>
      <w:r>
        <w:rPr>
          <w:rFonts w:ascii="Times New Roman" w:hAnsi="Times New Roman" w:cs="Times New Roman"/>
          <w:sz w:val="24"/>
          <w:highlight w:val="none"/>
        </w:rPr>
        <w:t>，质量目标达到。</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2．我方承诺在响应有效期内不修改、撤销响应文件。</w:t>
      </w:r>
    </w:p>
    <w:p>
      <w:pPr>
        <w:spacing w:line="400" w:lineRule="exact"/>
        <w:ind w:firstLine="480" w:firstLineChars="200"/>
        <w:rPr>
          <w:rFonts w:ascii="Times New Roman" w:hAnsi="Times New Roman" w:cs="Times New Roman"/>
          <w:sz w:val="24"/>
          <w:highlight w:val="none"/>
        </w:rPr>
      </w:pPr>
      <w:r>
        <w:rPr>
          <w:rFonts w:hint="eastAsia" w:ascii="Times New Roman" w:hAnsi="Times New Roman" w:cs="Times New Roman"/>
          <w:sz w:val="24"/>
          <w:highlight w:val="none"/>
        </w:rPr>
        <w:t>3</w:t>
      </w:r>
      <w:r>
        <w:rPr>
          <w:rFonts w:ascii="Times New Roman" w:hAnsi="Times New Roman" w:cs="Times New Roman"/>
          <w:sz w:val="24"/>
          <w:highlight w:val="none"/>
        </w:rPr>
        <w:t>．如我方成交：</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(2)我方承诺按照询比文件规定向你方递交履约担保。</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(3)我方承诺在合同约定的期限内完成全部合同任务。</w:t>
      </w:r>
    </w:p>
    <w:p>
      <w:pPr>
        <w:pStyle w:val="6"/>
        <w:ind w:firstLine="480" w:firstLineChars="200"/>
        <w:rPr>
          <w:highlight w:val="none"/>
        </w:rPr>
      </w:pPr>
      <w:r>
        <w:rPr>
          <w:rFonts w:hint="eastAsia" w:ascii="Times New Roman" w:hAnsi="Times New Roman" w:cs="Times New Roman"/>
          <w:sz w:val="24"/>
          <w:highlight w:val="none"/>
        </w:rPr>
        <w:t>(4)我方承诺车辆符合国家入户、上牌标准，如因我方原因车辆不能入户，损失由我方赔付。</w:t>
      </w:r>
    </w:p>
    <w:p>
      <w:pPr>
        <w:spacing w:line="400" w:lineRule="exact"/>
        <w:ind w:firstLine="480" w:firstLineChars="200"/>
        <w:rPr>
          <w:rFonts w:ascii="Times New Roman" w:hAnsi="Times New Roman" w:cs="Times New Roman"/>
          <w:sz w:val="24"/>
          <w:highlight w:val="none"/>
        </w:rPr>
      </w:pPr>
      <w:r>
        <w:rPr>
          <w:rFonts w:hint="eastAsia" w:ascii="Times New Roman" w:hAnsi="Times New Roman" w:cs="Times New Roman"/>
          <w:sz w:val="24"/>
          <w:highlight w:val="none"/>
        </w:rPr>
        <w:t>4</w:t>
      </w:r>
      <w:r>
        <w:rPr>
          <w:rFonts w:ascii="Times New Roman" w:hAnsi="Times New Roman" w:cs="Times New Roman"/>
          <w:sz w:val="24"/>
          <w:highlight w:val="none"/>
        </w:rPr>
        <w:t>．我方在此声明，所递交的响应文件及有关资料内容完整、真实和准确。</w:t>
      </w:r>
    </w:p>
    <w:p>
      <w:pPr>
        <w:spacing w:line="400" w:lineRule="exact"/>
        <w:ind w:firstLine="480" w:firstLineChars="200"/>
        <w:rPr>
          <w:rFonts w:ascii="Times New Roman" w:hAnsi="Times New Roman" w:cs="Times New Roman"/>
          <w:sz w:val="24"/>
          <w:highlight w:val="none"/>
        </w:rPr>
      </w:pPr>
      <w:r>
        <w:rPr>
          <w:rFonts w:hint="eastAsia" w:ascii="Times New Roman" w:hAnsi="Times New Roman" w:cs="Times New Roman"/>
          <w:sz w:val="24"/>
          <w:highlight w:val="none"/>
        </w:rPr>
        <w:t>5</w:t>
      </w:r>
      <w:r>
        <w:rPr>
          <w:rFonts w:ascii="Times New Roman" w:hAnsi="Times New Roman" w:cs="Times New Roman"/>
          <w:sz w:val="24"/>
          <w:highlight w:val="none"/>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highlight w:val="none"/>
        </w:rPr>
      </w:pPr>
      <w:r>
        <w:rPr>
          <w:rFonts w:hint="eastAsia" w:ascii="Times New Roman" w:hAnsi="Times New Roman" w:cs="Times New Roman"/>
          <w:sz w:val="24"/>
          <w:highlight w:val="none"/>
        </w:rPr>
        <w:t>6</w:t>
      </w:r>
      <w:r>
        <w:rPr>
          <w:rFonts w:ascii="Times New Roman" w:hAnsi="Times New Roman" w:cs="Times New Roman"/>
          <w:sz w:val="24"/>
          <w:highlight w:val="none"/>
        </w:rPr>
        <w:t>．我方理解，你方不一定</w:t>
      </w:r>
      <w:r>
        <w:rPr>
          <w:rFonts w:hint="eastAsia" w:ascii="Times New Roman" w:hAnsi="Times New Roman" w:cs="Times New Roman"/>
          <w:sz w:val="24"/>
          <w:highlight w:val="none"/>
        </w:rPr>
        <w:t>接受</w:t>
      </w:r>
      <w:r>
        <w:rPr>
          <w:rFonts w:ascii="Times New Roman" w:hAnsi="Times New Roman" w:cs="Times New Roman"/>
          <w:sz w:val="24"/>
          <w:highlight w:val="none"/>
        </w:rPr>
        <w:t>任何报价。同时也理解，你方不负担我方的任何报价费用。</w:t>
      </w:r>
    </w:p>
    <w:p>
      <w:pPr>
        <w:spacing w:line="400" w:lineRule="exact"/>
        <w:ind w:firstLine="3420" w:firstLineChars="1425"/>
        <w:rPr>
          <w:rFonts w:ascii="Times New Roman" w:hAnsi="Times New Roman" w:cs="Times New Roman"/>
          <w:sz w:val="24"/>
          <w:highlight w:val="none"/>
        </w:rPr>
      </w:pP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供应商：(盖单位章)</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法定代表人</w:t>
      </w:r>
      <w:r>
        <w:rPr>
          <w:rFonts w:hint="eastAsia" w:ascii="Times New Roman" w:hAnsi="Times New Roman" w:cs="Times New Roman"/>
          <w:sz w:val="24"/>
          <w:highlight w:val="none"/>
        </w:rPr>
        <w:t>或委托代理人</w:t>
      </w:r>
      <w:r>
        <w:rPr>
          <w:rFonts w:ascii="Times New Roman" w:hAnsi="Times New Roman" w:cs="Times New Roman"/>
          <w:sz w:val="24"/>
          <w:highlight w:val="none"/>
        </w:rPr>
        <w:t>：(</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地址：</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网址：</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电话：</w:t>
      </w:r>
    </w:p>
    <w:p>
      <w:pPr>
        <w:spacing w:line="400" w:lineRule="exact"/>
        <w:ind w:firstLine="3420" w:firstLineChars="1425"/>
        <w:rPr>
          <w:rFonts w:ascii="Times New Roman" w:hAnsi="Times New Roman" w:cs="Times New Roman"/>
          <w:sz w:val="24"/>
          <w:highlight w:val="none"/>
        </w:rPr>
      </w:pPr>
      <w:r>
        <w:rPr>
          <w:rFonts w:hint="eastAsia" w:ascii="Times New Roman" w:hAnsi="Times New Roman" w:cs="Times New Roman"/>
          <w:sz w:val="24"/>
          <w:highlight w:val="none"/>
        </w:rPr>
        <w:t>电子邮箱</w:t>
      </w:r>
      <w:r>
        <w:rPr>
          <w:rFonts w:ascii="Times New Roman" w:hAnsi="Times New Roman" w:cs="Times New Roman"/>
          <w:sz w:val="24"/>
          <w:highlight w:val="none"/>
        </w:rPr>
        <w:t>：</w:t>
      </w:r>
    </w:p>
    <w:p>
      <w:pPr>
        <w:spacing w:line="400" w:lineRule="exact"/>
        <w:ind w:firstLine="4740" w:firstLineChars="1975"/>
        <w:rPr>
          <w:rFonts w:ascii="Times New Roman" w:hAnsi="Times New Roman" w:cs="Times New Roman"/>
          <w:sz w:val="24"/>
          <w:highlight w:val="none"/>
        </w:rPr>
      </w:pPr>
      <w:r>
        <w:rPr>
          <w:rFonts w:ascii="Times New Roman" w:hAnsi="Times New Roman" w:cs="Times New Roman"/>
          <w:sz w:val="24"/>
          <w:highlight w:val="none"/>
        </w:rPr>
        <w:t>年月日</w:t>
      </w:r>
    </w:p>
    <w:p>
      <w:pPr>
        <w:rPr>
          <w:rFonts w:ascii="Times New Roman" w:hAnsi="Times New Roman" w:cs="Times New Roman"/>
          <w:sz w:val="24"/>
          <w:highlight w:val="none"/>
        </w:rPr>
      </w:pPr>
      <w:r>
        <w:rPr>
          <w:rFonts w:ascii="Times New Roman" w:hAnsi="Times New Roman" w:cs="Times New Roman"/>
          <w:sz w:val="24"/>
          <w:highlight w:val="none"/>
        </w:rPr>
        <w:br w:type="page"/>
      </w:r>
    </w:p>
    <w:p>
      <w:pPr>
        <w:spacing w:line="440" w:lineRule="exact"/>
        <w:jc w:val="center"/>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8"/>
          <w:szCs w:val="28"/>
          <w:highlight w:val="none"/>
        </w:rPr>
      </w:pPr>
      <w:bookmarkStart w:id="160" w:name="_Toc8695_WPSOffice_Level1"/>
      <w:bookmarkStart w:id="161" w:name="_Toc14563_WPSOffice_Level1"/>
      <w:bookmarkStart w:id="162" w:name="_Toc18668_WPSOffice_Level1"/>
      <w:bookmarkStart w:id="163" w:name="_Toc32350_WPSOffice_Level1"/>
      <w:bookmarkStart w:id="164" w:name="_Toc12530_WPSOffice_Level1"/>
      <w:r>
        <w:rPr>
          <w:rFonts w:ascii="Times New Roman" w:hAnsi="Times New Roman" w:eastAsia="黑体" w:cs="Times New Roman"/>
          <w:sz w:val="28"/>
          <w:szCs w:val="28"/>
          <w:highlight w:val="none"/>
        </w:rPr>
        <w:t>二、法定代表人身份证明及授权委托书</w:t>
      </w:r>
      <w:bookmarkEnd w:id="160"/>
      <w:bookmarkEnd w:id="161"/>
      <w:bookmarkEnd w:id="162"/>
      <w:bookmarkEnd w:id="163"/>
      <w:bookmarkEnd w:id="164"/>
    </w:p>
    <w:p>
      <w:pPr>
        <w:spacing w:line="440" w:lineRule="exact"/>
        <w:rPr>
          <w:rFonts w:ascii="Times New Roman" w:hAnsi="Times New Roman" w:cs="Times New Roman"/>
          <w:sz w:val="20"/>
          <w:szCs w:val="20"/>
          <w:highlight w:val="none"/>
        </w:rPr>
      </w:pPr>
    </w:p>
    <w:p>
      <w:pPr>
        <w:spacing w:line="440" w:lineRule="exact"/>
        <w:jc w:val="center"/>
        <w:rPr>
          <w:rFonts w:ascii="Times New Roman" w:hAnsi="Times New Roman" w:cs="Times New Roman"/>
          <w:sz w:val="28"/>
          <w:szCs w:val="28"/>
          <w:highlight w:val="none"/>
        </w:rPr>
      </w:pPr>
      <w:bookmarkStart w:id="165" w:name="_Toc20803_WPSOffice_Level2"/>
      <w:bookmarkStart w:id="166" w:name="_Toc5153_WPSOffice_Level2"/>
      <w:r>
        <w:rPr>
          <w:rFonts w:ascii="Times New Roman" w:hAnsi="Times New Roman" w:eastAsia="黑体" w:cs="Times New Roman"/>
          <w:bCs/>
          <w:sz w:val="28"/>
          <w:szCs w:val="28"/>
          <w:highlight w:val="none"/>
        </w:rPr>
        <w:t>2-1 法定代表人身份证明</w:t>
      </w:r>
      <w:bookmarkEnd w:id="165"/>
      <w:bookmarkEnd w:id="166"/>
    </w:p>
    <w:p>
      <w:pPr>
        <w:spacing w:line="440" w:lineRule="exact"/>
        <w:rPr>
          <w:rFonts w:ascii="Times New Roman" w:hAnsi="Times New Roman" w:cs="Times New Roman"/>
          <w:sz w:val="20"/>
          <w:szCs w:val="20"/>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供应商名称：</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单位性质：</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地址：</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成立时间：年月日</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经营期限：</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姓名：性别：年龄：职务：</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系 (供应商名称)的法定代表人。</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附：法定代表人</w:t>
      </w:r>
      <w:r>
        <w:rPr>
          <w:rFonts w:hint="eastAsia" w:ascii="Times New Roman" w:hAnsi="Times New Roman" w:cs="Times New Roman"/>
          <w:sz w:val="24"/>
          <w:highlight w:val="none"/>
        </w:rPr>
        <w:t>身份证正反面复印件</w:t>
      </w:r>
    </w:p>
    <w:p>
      <w:pPr>
        <w:spacing w:line="440" w:lineRule="exact"/>
        <w:ind w:firstLine="480" w:firstLineChars="200"/>
        <w:rPr>
          <w:rFonts w:ascii="Times New Roman" w:hAnsi="Times New Roman" w:cs="Times New Roman"/>
          <w:sz w:val="24"/>
          <w:highlight w:val="none"/>
        </w:rPr>
      </w:pP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特此证明。</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供应商：(盖单位章)</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年月日</w:t>
      </w: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ind w:left="315" w:hanging="315" w:hangingChars="150"/>
        <w:rPr>
          <w:rFonts w:ascii="Times New Roman" w:hAnsi="Times New Roman" w:eastAsia="黑体" w:cs="Times New Roman"/>
          <w:szCs w:val="21"/>
          <w:highlight w:val="none"/>
        </w:rPr>
      </w:pPr>
    </w:p>
    <w:p>
      <w:pPr>
        <w:topLinePunct/>
        <w:spacing w:line="440" w:lineRule="exact"/>
        <w:ind w:left="315" w:hanging="315" w:hangingChars="150"/>
        <w:rPr>
          <w:rFonts w:ascii="Times New Roman" w:hAnsi="Times New Roman" w:eastAsia="黑体" w:cs="Times New Roman"/>
          <w:bCs/>
          <w:szCs w:val="21"/>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4"/>
          <w:highlight w:val="none"/>
        </w:rPr>
        <w:br w:type="page"/>
      </w:r>
      <w:bookmarkStart w:id="167" w:name="_Toc19768_WPSOffice_Level2"/>
      <w:bookmarkStart w:id="168" w:name="_Toc12035_WPSOffice_Level2"/>
      <w:r>
        <w:rPr>
          <w:rFonts w:ascii="Times New Roman" w:hAnsi="Times New Roman" w:eastAsia="黑体" w:cs="Times New Roman"/>
          <w:bCs/>
          <w:sz w:val="28"/>
          <w:szCs w:val="28"/>
          <w:highlight w:val="none"/>
        </w:rPr>
        <w:t xml:space="preserve">2-2 </w:t>
      </w:r>
      <w:r>
        <w:rPr>
          <w:rFonts w:ascii="Times New Roman" w:hAnsi="Times New Roman" w:eastAsia="黑体" w:cs="Times New Roman"/>
          <w:sz w:val="28"/>
          <w:szCs w:val="28"/>
          <w:highlight w:val="none"/>
        </w:rPr>
        <w:t>授权委托书</w:t>
      </w:r>
      <w:bookmarkEnd w:id="167"/>
      <w:bookmarkEnd w:id="168"/>
    </w:p>
    <w:p>
      <w:pPr>
        <w:spacing w:line="440" w:lineRule="exact"/>
        <w:rPr>
          <w:rFonts w:ascii="Times New Roman" w:hAnsi="Times New Roman" w:eastAsia="黑体" w:cs="Times New Roman"/>
          <w:sz w:val="24"/>
          <w:highlight w:val="none"/>
        </w:rPr>
      </w:pPr>
    </w:p>
    <w:p>
      <w:pPr>
        <w:topLinePunct/>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本人(姓名)系(供应商名称)的法定代表人，现委托(姓名)为我方代理人。代理人根据授权，以我方名义签署、澄清、说明、补正、递交、撤回、修改(项目名称)合同包响应文件、签订合同和处理有关事宜，其法律后果由我方承担。</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委托期限：</w:t>
      </w:r>
      <w:r>
        <w:rPr>
          <w:rFonts w:ascii="Times New Roman" w:hAnsi="Times New Roman" w:cs="Times New Roman"/>
          <w:sz w:val="24"/>
          <w:highlight w:val="none"/>
          <w:u w:val="single"/>
        </w:rPr>
        <w:t>自授权委托之日起至签订合同之日止</w:t>
      </w:r>
      <w:r>
        <w:rPr>
          <w:rFonts w:ascii="Times New Roman" w:hAnsi="Times New Roman" w:cs="Times New Roman"/>
          <w:sz w:val="24"/>
          <w:highlight w:val="none"/>
        </w:rPr>
        <w:t>。</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代理人无转委托权。</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附：法定代表人身份证明</w:t>
      </w:r>
      <w:r>
        <w:rPr>
          <w:rFonts w:hint="eastAsia" w:ascii="Times New Roman" w:hAnsi="Times New Roman" w:cs="Times New Roman"/>
          <w:sz w:val="24"/>
          <w:highlight w:val="none"/>
        </w:rPr>
        <w:t>、委托代理人的身份证正反面复印件</w:t>
      </w:r>
    </w:p>
    <w:p>
      <w:pPr>
        <w:spacing w:line="440" w:lineRule="exact"/>
        <w:ind w:firstLine="480" w:firstLineChars="200"/>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供应商：(盖单位章)</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法定代表人：(</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身份证号码：</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委托代理人：(</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身份证号码：</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ind w:firstLine="1800" w:firstLineChars="750"/>
        <w:rPr>
          <w:rFonts w:ascii="Times New Roman" w:hAnsi="Times New Roman" w:eastAsia="黑体" w:cs="Times New Roman"/>
          <w:sz w:val="24"/>
          <w:highlight w:val="none"/>
        </w:rPr>
      </w:pPr>
      <w:r>
        <w:rPr>
          <w:rFonts w:ascii="Times New Roman" w:hAnsi="Times New Roman" w:cs="Times New Roman"/>
          <w:sz w:val="24"/>
          <w:highlight w:val="none"/>
        </w:rPr>
        <w:t>年</w:t>
      </w:r>
      <w:r>
        <w:rPr>
          <w:rFonts w:hint="eastAsia" w:ascii="Times New Roman" w:hAnsi="Times New Roman" w:cs="Times New Roman"/>
          <w:sz w:val="24"/>
          <w:highlight w:val="none"/>
          <w:lang w:val="en-US" w:eastAsia="zh-CN"/>
        </w:rPr>
        <w:t xml:space="preserve">  </w:t>
      </w:r>
      <w:r>
        <w:rPr>
          <w:rFonts w:ascii="Times New Roman" w:hAnsi="Times New Roman" w:cs="Times New Roman"/>
          <w:sz w:val="24"/>
          <w:highlight w:val="none"/>
        </w:rPr>
        <w:t>月</w:t>
      </w:r>
      <w:r>
        <w:rPr>
          <w:rFonts w:hint="eastAsia" w:ascii="Times New Roman" w:hAnsi="Times New Roman" w:cs="Times New Roman"/>
          <w:sz w:val="24"/>
          <w:highlight w:val="none"/>
          <w:lang w:val="en-US" w:eastAsia="zh-CN"/>
        </w:rPr>
        <w:t xml:space="preserve">  </w:t>
      </w:r>
      <w:r>
        <w:rPr>
          <w:rFonts w:ascii="Times New Roman" w:hAnsi="Times New Roman" w:cs="Times New Roman"/>
          <w:sz w:val="24"/>
          <w:highlight w:val="none"/>
        </w:rPr>
        <w:t>日</w:t>
      </w:r>
    </w:p>
    <w:p>
      <w:pPr>
        <w:spacing w:line="440" w:lineRule="exact"/>
        <w:rPr>
          <w:rFonts w:ascii="Times New Roman" w:hAnsi="Times New Roman" w:eastAsia="黑体" w:cs="Times New Roman"/>
          <w:sz w:val="24"/>
          <w:highlight w:val="none"/>
        </w:rPr>
      </w:pPr>
    </w:p>
    <w:p>
      <w:pPr>
        <w:pStyle w:val="6"/>
        <w:rPr>
          <w:rFonts w:ascii="Times New Roman" w:hAnsi="Times New Roman" w:eastAsia="黑体" w:cs="Times New Roman"/>
          <w:sz w:val="24"/>
          <w:highlight w:val="none"/>
        </w:rPr>
      </w:pPr>
    </w:p>
    <w:p>
      <w:pPr>
        <w:pStyle w:val="6"/>
        <w:rPr>
          <w:rFonts w:ascii="Times New Roman" w:hAnsi="Times New Roman" w:eastAsia="黑体" w:cs="Times New Roman"/>
          <w:sz w:val="24"/>
          <w:highlight w:val="none"/>
        </w:rPr>
      </w:pPr>
    </w:p>
    <w:p>
      <w:pPr>
        <w:pStyle w:val="6"/>
        <w:rPr>
          <w:rFonts w:ascii="Times New Roman" w:hAnsi="Times New Roman" w:eastAsia="黑体" w:cs="Times New Roman"/>
          <w:sz w:val="24"/>
          <w:highlight w:val="none"/>
        </w:rPr>
      </w:pPr>
    </w:p>
    <w:p>
      <w:pPr>
        <w:pStyle w:val="6"/>
        <w:rPr>
          <w:rFonts w:ascii="Times New Roman" w:hAnsi="Times New Roman" w:eastAsia="黑体" w:cs="Times New Roman"/>
          <w:sz w:val="24"/>
          <w:highlight w:val="none"/>
        </w:rPr>
      </w:pPr>
    </w:p>
    <w:p>
      <w:pPr>
        <w:pStyle w:val="6"/>
        <w:rPr>
          <w:rFonts w:ascii="Times New Roman" w:hAnsi="Times New Roman" w:eastAsia="黑体" w:cs="Times New Roman"/>
          <w:sz w:val="24"/>
          <w:highlight w:val="none"/>
        </w:rPr>
      </w:pPr>
    </w:p>
    <w:p>
      <w:pPr>
        <w:pStyle w:val="6"/>
        <w:rPr>
          <w:rFonts w:ascii="Times New Roman" w:hAnsi="Times New Roman" w:eastAsia="黑体" w:cs="Times New Roman"/>
          <w:sz w:val="24"/>
          <w:highlight w:val="none"/>
        </w:rPr>
      </w:pPr>
    </w:p>
    <w:p>
      <w:pPr>
        <w:pStyle w:val="6"/>
        <w:rPr>
          <w:rFonts w:ascii="Times New Roman" w:hAnsi="Times New Roman" w:eastAsia="黑体" w:cs="Times New Roman"/>
          <w:sz w:val="24"/>
          <w:highlight w:val="none"/>
        </w:rPr>
      </w:pPr>
    </w:p>
    <w:p>
      <w:pPr>
        <w:pStyle w:val="6"/>
        <w:rPr>
          <w:rFonts w:ascii="Times New Roman" w:hAnsi="Times New Roman" w:eastAsia="黑体" w:cs="Times New Roman"/>
          <w:sz w:val="24"/>
          <w:highlight w:val="none"/>
        </w:rPr>
      </w:pPr>
    </w:p>
    <w:p>
      <w:pPr>
        <w:pStyle w:val="6"/>
        <w:rPr>
          <w:rFonts w:ascii="Times New Roman" w:hAnsi="Times New Roman" w:eastAsia="黑体" w:cs="Times New Roman"/>
          <w:sz w:val="24"/>
          <w:highlight w:val="none"/>
        </w:rPr>
      </w:pPr>
    </w:p>
    <w:p>
      <w:pPr>
        <w:spacing w:line="440" w:lineRule="exact"/>
        <w:jc w:val="center"/>
        <w:rPr>
          <w:rFonts w:ascii="宋体" w:hAnsi="宋体" w:eastAsia="宋体" w:cs="宋体"/>
          <w:b/>
          <w:sz w:val="32"/>
          <w:szCs w:val="32"/>
          <w:highlight w:val="none"/>
        </w:rPr>
      </w:pPr>
      <w:r>
        <w:rPr>
          <w:rFonts w:hint="eastAsia" w:ascii="宋体" w:hAnsi="宋体" w:eastAsia="宋体" w:cs="宋体"/>
          <w:b/>
          <w:sz w:val="32"/>
          <w:szCs w:val="32"/>
          <w:highlight w:val="none"/>
        </w:rPr>
        <w:t>2-3承诺函</w:t>
      </w:r>
    </w:p>
    <w:p>
      <w:pPr>
        <w:spacing w:line="360" w:lineRule="auto"/>
        <w:rPr>
          <w:rFonts w:ascii="宋体" w:hAnsi="宋体" w:eastAsia="宋体" w:cs="宋体"/>
          <w:szCs w:val="21"/>
          <w:highlight w:val="none"/>
        </w:rPr>
      </w:pPr>
    </w:p>
    <w:p>
      <w:pPr>
        <w:spacing w:line="360" w:lineRule="auto"/>
        <w:rPr>
          <w:rFonts w:ascii="宋体" w:hAnsi="宋体" w:eastAsia="宋体" w:cs="宋体"/>
          <w:szCs w:val="21"/>
          <w:highlight w:val="none"/>
        </w:rPr>
      </w:pPr>
      <w:r>
        <w:rPr>
          <w:rFonts w:hint="eastAsia" w:ascii="宋体" w:hAnsi="宋体" w:eastAsia="宋体" w:cs="宋体"/>
          <w:szCs w:val="21"/>
          <w:highlight w:val="none"/>
        </w:rPr>
        <w:t>致：安徽交运集团汽车销售有限公司：</w:t>
      </w:r>
    </w:p>
    <w:p>
      <w:pPr>
        <w:spacing w:line="360"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我方参加了的采购报价，若我方</w:t>
      </w:r>
      <w:r>
        <w:rPr>
          <w:rFonts w:hint="eastAsia" w:ascii="宋体" w:hAnsi="宋体" w:eastAsia="宋体" w:cs="宋体"/>
          <w:szCs w:val="21"/>
          <w:highlight w:val="none"/>
          <w:lang w:val="en-US" w:eastAsia="zh-CN"/>
        </w:rPr>
        <w:t>作为成交人</w:t>
      </w:r>
      <w:r>
        <w:rPr>
          <w:rFonts w:hint="eastAsia" w:ascii="宋体" w:hAnsi="宋体" w:eastAsia="宋体" w:cs="宋体"/>
          <w:szCs w:val="21"/>
          <w:highlight w:val="none"/>
        </w:rPr>
        <w:t>，我方在此承诺：</w:t>
      </w:r>
    </w:p>
    <w:p>
      <w:pPr>
        <w:spacing w:line="360"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一、保证遵循“自愿、诚实、公平”的原则与贵单位签订合同协议书，在履行合同期内认真执行《中华人民共和国合同法》。</w:t>
      </w:r>
    </w:p>
    <w:p>
      <w:pPr>
        <w:spacing w:line="360" w:lineRule="auto"/>
        <w:ind w:firstLine="420" w:firstLineChars="200"/>
        <w:rPr>
          <w:rFonts w:ascii="宋体" w:hAnsi="宋体" w:eastAsia="宋体" w:cs="宋体"/>
          <w:szCs w:val="21"/>
          <w:highlight w:val="none"/>
        </w:rPr>
      </w:pPr>
      <w:r>
        <w:rPr>
          <w:rFonts w:hint="eastAsia" w:ascii="宋体" w:hAnsi="宋体" w:eastAsia="宋体" w:cs="宋体"/>
          <w:color w:val="000000"/>
          <w:szCs w:val="21"/>
          <w:highlight w:val="none"/>
        </w:rPr>
        <w:t>二、</w:t>
      </w:r>
      <w:r>
        <w:rPr>
          <w:rFonts w:hint="eastAsia" w:ascii="宋体" w:hAnsi="宋体" w:eastAsia="宋体" w:cs="宋体"/>
          <w:szCs w:val="21"/>
          <w:highlight w:val="none"/>
        </w:rPr>
        <w:t>我方承诺向贵单位提供合法有效的营业执照、税务登记证及生产许可证等必要证件。</w:t>
      </w:r>
      <w:r>
        <w:rPr>
          <w:rFonts w:hint="eastAsia" w:ascii="宋体" w:hAnsi="宋体" w:eastAsia="宋体" w:cs="宋体"/>
          <w:color w:val="000000"/>
          <w:szCs w:val="21"/>
          <w:highlight w:val="none"/>
        </w:rPr>
        <w:t>我方所有供应货</w:t>
      </w:r>
      <w:r>
        <w:rPr>
          <w:rFonts w:hint="eastAsia" w:ascii="宋体" w:hAnsi="宋体" w:eastAsia="宋体" w:cs="宋体"/>
          <w:szCs w:val="21"/>
          <w:highlight w:val="none"/>
        </w:rPr>
        <w:t>物都有合格的《质量检测报告》和相关的产品合格证，符合国家的相关规定；并保证所有证件真实、合法、有效。</w:t>
      </w:r>
    </w:p>
    <w:p>
      <w:pPr>
        <w:spacing w:line="360" w:lineRule="auto"/>
        <w:ind w:firstLine="420" w:firstLineChars="200"/>
        <w:rPr>
          <w:rFonts w:ascii="宋体" w:hAnsi="宋体" w:eastAsia="宋体" w:cs="宋体"/>
          <w:szCs w:val="21"/>
          <w:highlight w:val="none"/>
        </w:rPr>
      </w:pPr>
      <w:r>
        <w:rPr>
          <w:rFonts w:hint="eastAsia" w:ascii="宋体" w:hAnsi="宋体" w:eastAsia="宋体" w:cs="宋体"/>
          <w:color w:val="000000"/>
          <w:szCs w:val="21"/>
          <w:highlight w:val="none"/>
        </w:rPr>
        <w:t>三、</w:t>
      </w:r>
      <w:r>
        <w:rPr>
          <w:rFonts w:hint="eastAsia" w:ascii="宋体" w:hAnsi="宋体" w:eastAsia="宋体" w:cs="宋体"/>
          <w:szCs w:val="21"/>
          <w:highlight w:val="none"/>
        </w:rPr>
        <w:t>我方按合同中所要求的供应货物的时间、地点及时供货，保证所供货物的质量，且保证不因我方的任何原因使所供货物在正常使用中产生任何质量问题；同时承诺货物在正确安装、正确使用和保养条件下，在其使用寿命期内，对因我方提供的货物的缺陷、质量问题而产生的故障、损失负责。</w:t>
      </w:r>
    </w:p>
    <w:p>
      <w:pPr>
        <w:spacing w:line="360"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四、采购人有权对货物进行检验和测试，以确定我方所供货物是否符合合同要求，我方将无条件接受采购人提出的到指定检验单位进行检验的要求。受检验或测试的货物如不符合规格和要求，采购人将拒绝接受，我方保证将被拒绝货物予以替换或作必要的更改，以使之符合规格要求。采购人不承担被拒绝货物所发生的任何费用。</w:t>
      </w:r>
    </w:p>
    <w:p>
      <w:pPr>
        <w:spacing w:line="360"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五、对本询比采购项目所提供的货物符合贵单位的采购需求及技术要求，且我单位在贵单位无放弃中标或放弃履约等不良行为。否则将取消我单位的竞标资格。</w:t>
      </w:r>
    </w:p>
    <w:p>
      <w:pPr>
        <w:spacing w:line="360" w:lineRule="auto"/>
        <w:ind w:firstLine="420" w:firstLineChars="200"/>
        <w:rPr>
          <w:rFonts w:ascii="宋体" w:hAnsi="宋体" w:eastAsia="宋体" w:cs="宋体"/>
          <w:szCs w:val="21"/>
          <w:highlight w:val="none"/>
        </w:rPr>
      </w:pPr>
      <w:r>
        <w:rPr>
          <w:rFonts w:hint="eastAsia" w:ascii="宋体" w:hAnsi="宋体" w:eastAsia="宋体" w:cs="宋体"/>
          <w:szCs w:val="21"/>
          <w:highlight w:val="none"/>
        </w:rPr>
        <w:t>我方理解采购人在任何时候对货物进行检验、测试。如我方提供的货物不能满足质量标准或由于我方未能履行合同等的原因，我方将无条件接受采购人中止我方的供货资格。</w:t>
      </w:r>
    </w:p>
    <w:p>
      <w:pPr>
        <w:spacing w:line="360" w:lineRule="auto"/>
        <w:ind w:firstLine="420" w:firstLineChars="200"/>
        <w:jc w:val="right"/>
        <w:rPr>
          <w:rFonts w:ascii="宋体" w:hAnsi="宋体" w:eastAsia="宋体" w:cs="宋体"/>
          <w:szCs w:val="21"/>
          <w:highlight w:val="none"/>
        </w:rPr>
      </w:pPr>
    </w:p>
    <w:p>
      <w:pPr>
        <w:spacing w:line="360" w:lineRule="auto"/>
        <w:ind w:firstLine="420" w:firstLineChars="200"/>
        <w:jc w:val="right"/>
        <w:rPr>
          <w:rFonts w:ascii="宋体" w:hAnsi="宋体" w:eastAsia="宋体" w:cs="宋体"/>
          <w:szCs w:val="21"/>
          <w:highlight w:val="none"/>
        </w:rPr>
      </w:pPr>
      <w:r>
        <w:rPr>
          <w:rFonts w:hint="eastAsia" w:ascii="宋体" w:hAnsi="宋体" w:eastAsia="宋体" w:cs="宋体"/>
          <w:szCs w:val="21"/>
          <w:highlight w:val="none"/>
          <w:lang w:val="en-US" w:eastAsia="zh-CN"/>
        </w:rPr>
        <w:t>响应</w:t>
      </w:r>
      <w:r>
        <w:rPr>
          <w:rFonts w:hint="eastAsia" w:ascii="宋体" w:hAnsi="宋体" w:eastAsia="宋体" w:cs="宋体"/>
          <w:szCs w:val="21"/>
          <w:highlight w:val="none"/>
        </w:rPr>
        <w:t>人：  (盖单位章)</w:t>
      </w:r>
    </w:p>
    <w:p>
      <w:pPr>
        <w:spacing w:line="360" w:lineRule="auto"/>
        <w:ind w:firstLine="420" w:firstLineChars="200"/>
        <w:jc w:val="right"/>
        <w:rPr>
          <w:rFonts w:ascii="宋体" w:hAnsi="宋体" w:eastAsia="宋体" w:cs="宋体"/>
          <w:szCs w:val="21"/>
          <w:highlight w:val="none"/>
        </w:rPr>
      </w:pPr>
      <w:r>
        <w:rPr>
          <w:rFonts w:hint="eastAsia" w:ascii="宋体" w:hAnsi="宋体" w:eastAsia="宋体" w:cs="宋体"/>
          <w:szCs w:val="21"/>
          <w:highlight w:val="none"/>
          <w:lang w:val="en-US" w:eastAsia="zh-CN"/>
        </w:rPr>
        <w:t>响应</w:t>
      </w:r>
      <w:r>
        <w:rPr>
          <w:rFonts w:hint="eastAsia" w:ascii="宋体" w:hAnsi="宋体" w:eastAsia="宋体" w:cs="宋体"/>
          <w:szCs w:val="21"/>
          <w:highlight w:val="none"/>
        </w:rPr>
        <w:t>人法定代表人或其委托代理人：(签字)</w:t>
      </w:r>
    </w:p>
    <w:p>
      <w:pPr>
        <w:spacing w:line="360" w:lineRule="auto"/>
        <w:ind w:firstLine="420" w:firstLineChars="200"/>
        <w:rPr>
          <w:rFonts w:ascii="宋体" w:hAnsi="宋体" w:eastAsia="宋体" w:cs="宋体"/>
          <w:szCs w:val="21"/>
          <w:highlight w:val="none"/>
        </w:rPr>
      </w:pPr>
    </w:p>
    <w:p>
      <w:pPr>
        <w:spacing w:line="360" w:lineRule="auto"/>
        <w:jc w:val="right"/>
        <w:rPr>
          <w:rFonts w:ascii="宋体" w:hAnsi="宋体" w:eastAsia="宋体" w:cs="宋体"/>
          <w:szCs w:val="21"/>
          <w:highlight w:val="none"/>
        </w:rPr>
      </w:pPr>
      <w:r>
        <w:rPr>
          <w:rFonts w:hint="eastAsia" w:ascii="宋体" w:hAnsi="宋体" w:eastAsia="宋体" w:cs="宋体"/>
          <w:szCs w:val="21"/>
          <w:highlight w:val="none"/>
        </w:rPr>
        <w:t>年</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月</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日</w:t>
      </w:r>
    </w:p>
    <w:p>
      <w:pPr>
        <w:spacing w:line="440" w:lineRule="exact"/>
        <w:jc w:val="center"/>
        <w:rPr>
          <w:rFonts w:ascii="宋体" w:hAnsi="宋体" w:eastAsia="宋体" w:cs="宋体"/>
          <w:b/>
          <w:bCs/>
          <w:sz w:val="32"/>
          <w:szCs w:val="32"/>
          <w:highlight w:val="none"/>
        </w:rPr>
      </w:pPr>
    </w:p>
    <w:p>
      <w:pPr>
        <w:pStyle w:val="6"/>
        <w:rPr>
          <w:rFonts w:ascii="Times New Roman" w:hAnsi="Times New Roman" w:eastAsia="黑体" w:cs="Times New Roman"/>
          <w:sz w:val="24"/>
          <w:highlight w:val="none"/>
        </w:rPr>
      </w:pPr>
    </w:p>
    <w:p>
      <w:pPr>
        <w:spacing w:line="360" w:lineRule="exact"/>
        <w:ind w:left="360" w:hanging="360" w:hangingChars="200"/>
        <w:rPr>
          <w:rFonts w:ascii="Times New Roman" w:hAnsi="Times New Roman" w:eastAsia="黑体" w:cs="Times New Roman"/>
          <w:sz w:val="18"/>
          <w:szCs w:val="18"/>
          <w:highlight w:val="none"/>
        </w:rPr>
      </w:pPr>
    </w:p>
    <w:p>
      <w:pPr>
        <w:spacing w:line="440" w:lineRule="exact"/>
        <w:jc w:val="center"/>
        <w:rPr>
          <w:rFonts w:ascii="Times New Roman" w:hAnsi="Times New Roman" w:eastAsia="黑体" w:cs="Times New Roman"/>
          <w:sz w:val="24"/>
          <w:highlight w:val="none"/>
        </w:rPr>
      </w:pPr>
      <w:r>
        <w:rPr>
          <w:rFonts w:ascii="Times New Roman" w:hAnsi="Times New Roman" w:eastAsia="黑体" w:cs="Times New Roman"/>
          <w:sz w:val="24"/>
          <w:highlight w:val="none"/>
        </w:rPr>
        <w:br w:type="page"/>
      </w:r>
    </w:p>
    <w:p>
      <w:pPr>
        <w:spacing w:line="440" w:lineRule="exact"/>
        <w:jc w:val="center"/>
        <w:rPr>
          <w:rFonts w:hint="eastAsia" w:ascii="Times New Roman" w:hAnsi="Times New Roman"/>
          <w:highlight w:val="none"/>
          <w:lang w:eastAsia="zh-CN"/>
        </w:rPr>
      </w:pPr>
      <w:bookmarkStart w:id="169" w:name="_Toc24567_WPSOffice_Level1"/>
      <w:bookmarkStart w:id="170" w:name="_Toc24530_WPSOffice_Level1"/>
      <w:bookmarkStart w:id="171" w:name="_Toc15186_WPSOffice_Level1"/>
      <w:bookmarkStart w:id="172" w:name="_Toc32085_WPSOffice_Level1"/>
      <w:bookmarkStart w:id="173" w:name="_Toc12942_WPSOffice_Level1"/>
      <w:r>
        <w:rPr>
          <w:rFonts w:hint="eastAsia" w:ascii="Times New Roman" w:hAnsi="Times New Roman" w:eastAsia="黑体" w:cs="Times New Roman"/>
          <w:sz w:val="28"/>
          <w:szCs w:val="28"/>
          <w:highlight w:val="none"/>
        </w:rPr>
        <w:t>三</w:t>
      </w:r>
      <w:r>
        <w:rPr>
          <w:rFonts w:ascii="Times New Roman" w:hAnsi="Times New Roman" w:eastAsia="黑体" w:cs="Times New Roman"/>
          <w:sz w:val="28"/>
          <w:szCs w:val="28"/>
          <w:highlight w:val="none"/>
        </w:rPr>
        <w:t>、已标价</w:t>
      </w:r>
      <w:r>
        <w:rPr>
          <w:rFonts w:hint="eastAsia" w:ascii="Times New Roman" w:hAnsi="Times New Roman" w:eastAsia="黑体" w:cs="Times New Roman"/>
          <w:sz w:val="28"/>
          <w:szCs w:val="28"/>
          <w:highlight w:val="none"/>
        </w:rPr>
        <w:t>的</w:t>
      </w:r>
      <w:bookmarkEnd w:id="169"/>
      <w:bookmarkEnd w:id="170"/>
      <w:bookmarkEnd w:id="171"/>
      <w:bookmarkEnd w:id="172"/>
      <w:r>
        <w:rPr>
          <w:rFonts w:hint="eastAsia" w:ascii="Times New Roman" w:hAnsi="Times New Roman" w:eastAsia="黑体" w:cs="Times New Roman"/>
          <w:sz w:val="28"/>
          <w:szCs w:val="28"/>
          <w:highlight w:val="none"/>
        </w:rPr>
        <w:t>报价清单</w:t>
      </w:r>
      <w:bookmarkEnd w:id="173"/>
      <w:r>
        <w:rPr>
          <w:rFonts w:hint="eastAsia" w:ascii="Times New Roman" w:hAnsi="Times New Roman" w:eastAsia="黑体" w:cs="Times New Roman"/>
          <w:sz w:val="28"/>
          <w:szCs w:val="28"/>
          <w:highlight w:val="none"/>
        </w:rPr>
        <w:t>（包）</w:t>
      </w:r>
    </w:p>
    <w:p>
      <w:pPr>
        <w:numPr>
          <w:ilvl w:val="0"/>
          <w:numId w:val="0"/>
        </w:numPr>
        <w:ind w:leftChars="0"/>
        <w:jc w:val="center"/>
        <w:rPr>
          <w:rFonts w:hint="default"/>
          <w:b/>
          <w:bCs/>
          <w:highlight w:val="none"/>
          <w:lang w:val="en-US" w:eastAsia="zh-CN"/>
        </w:rPr>
      </w:pPr>
    </w:p>
    <w:tbl>
      <w:tblPr>
        <w:tblStyle w:val="14"/>
        <w:tblW w:w="8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5"/>
        <w:gridCol w:w="1218"/>
        <w:gridCol w:w="834"/>
        <w:gridCol w:w="1025"/>
        <w:gridCol w:w="1508"/>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7" w:hRule="atLeast"/>
          <w:jc w:val="center"/>
        </w:trPr>
        <w:tc>
          <w:tcPr>
            <w:tcW w:w="2245" w:type="dxa"/>
            <w:noWrap w:val="0"/>
            <w:vAlign w:val="center"/>
          </w:tcPr>
          <w:p>
            <w:pPr>
              <w:adjustRightInd w:val="0"/>
              <w:snapToGrid w:val="0"/>
              <w:spacing w:line="360" w:lineRule="auto"/>
              <w:jc w:val="center"/>
              <w:textAlignment w:val="baseline"/>
              <w:rPr>
                <w:rFonts w:hint="eastAsia" w:ascii="Times New Roman" w:hAnsi="Times New Roman" w:eastAsia="宋体" w:cs="Times New Roman"/>
                <w:b/>
                <w:bCs/>
                <w:szCs w:val="22"/>
                <w:highlight w:val="none"/>
              </w:rPr>
            </w:pPr>
            <w:r>
              <w:rPr>
                <w:rFonts w:hint="eastAsia" w:ascii="Times New Roman" w:hAnsi="Times New Roman" w:eastAsia="宋体" w:cs="Times New Roman"/>
                <w:b/>
                <w:bCs/>
                <w:szCs w:val="22"/>
                <w:highlight w:val="none"/>
              </w:rPr>
              <w:t>产品名称</w:t>
            </w:r>
          </w:p>
        </w:tc>
        <w:tc>
          <w:tcPr>
            <w:tcW w:w="1218" w:type="dxa"/>
            <w:noWrap w:val="0"/>
            <w:vAlign w:val="center"/>
          </w:tcPr>
          <w:p>
            <w:pPr>
              <w:adjustRightInd w:val="0"/>
              <w:snapToGrid w:val="0"/>
              <w:spacing w:line="360" w:lineRule="auto"/>
              <w:jc w:val="center"/>
              <w:textAlignment w:val="baseline"/>
              <w:rPr>
                <w:rFonts w:hint="eastAsia" w:ascii="Times New Roman" w:hAnsi="Times New Roman" w:eastAsia="宋体" w:cs="Times New Roman"/>
                <w:b/>
                <w:bCs/>
                <w:szCs w:val="22"/>
                <w:highlight w:val="none"/>
              </w:rPr>
            </w:pPr>
            <w:r>
              <w:rPr>
                <w:rFonts w:hint="eastAsia" w:ascii="Times New Roman" w:hAnsi="Times New Roman" w:eastAsia="宋体" w:cs="Times New Roman"/>
                <w:b/>
                <w:bCs/>
                <w:szCs w:val="22"/>
                <w:highlight w:val="none"/>
              </w:rPr>
              <w:t>电池组及相关组件数量</w:t>
            </w:r>
          </w:p>
        </w:tc>
        <w:tc>
          <w:tcPr>
            <w:tcW w:w="834" w:type="dxa"/>
            <w:noWrap w:val="0"/>
            <w:vAlign w:val="center"/>
          </w:tcPr>
          <w:p>
            <w:pPr>
              <w:adjustRightInd w:val="0"/>
              <w:snapToGrid w:val="0"/>
              <w:spacing w:line="360" w:lineRule="auto"/>
              <w:jc w:val="center"/>
              <w:textAlignment w:val="baseline"/>
              <w:rPr>
                <w:rFonts w:hint="eastAsia" w:ascii="Times New Roman" w:hAnsi="Times New Roman" w:eastAsia="宋体" w:cs="Times New Roman"/>
                <w:b/>
                <w:bCs/>
                <w:szCs w:val="22"/>
                <w:highlight w:val="none"/>
              </w:rPr>
            </w:pPr>
            <w:r>
              <w:rPr>
                <w:rFonts w:hint="eastAsia" w:ascii="Times New Roman" w:hAnsi="Times New Roman" w:eastAsia="宋体" w:cs="Times New Roman"/>
                <w:b/>
                <w:bCs/>
                <w:szCs w:val="22"/>
                <w:highlight w:val="none"/>
              </w:rPr>
              <w:t>车辆数(辆)</w:t>
            </w:r>
          </w:p>
        </w:tc>
        <w:tc>
          <w:tcPr>
            <w:tcW w:w="1025" w:type="dxa"/>
            <w:noWrap w:val="0"/>
            <w:vAlign w:val="center"/>
          </w:tcPr>
          <w:p>
            <w:pPr>
              <w:adjustRightInd w:val="0"/>
              <w:snapToGrid w:val="0"/>
              <w:spacing w:line="360" w:lineRule="auto"/>
              <w:jc w:val="center"/>
              <w:textAlignment w:val="baseline"/>
              <w:rPr>
                <w:rFonts w:hint="eastAsia" w:ascii="Times New Roman" w:hAnsi="Times New Roman" w:eastAsia="宋体" w:cs="Times New Roman"/>
                <w:b/>
                <w:bCs/>
                <w:szCs w:val="22"/>
                <w:highlight w:val="none"/>
              </w:rPr>
            </w:pPr>
            <w:r>
              <w:rPr>
                <w:rFonts w:hint="eastAsia" w:ascii="Times New Roman" w:hAnsi="Times New Roman" w:eastAsia="宋体" w:cs="Times New Roman"/>
                <w:b/>
                <w:bCs/>
                <w:szCs w:val="22"/>
                <w:highlight w:val="none"/>
              </w:rPr>
              <w:t>最低总电(kwh)</w:t>
            </w:r>
          </w:p>
        </w:tc>
        <w:tc>
          <w:tcPr>
            <w:tcW w:w="1508" w:type="dxa"/>
            <w:noWrap w:val="0"/>
            <w:vAlign w:val="center"/>
          </w:tcPr>
          <w:p>
            <w:pPr>
              <w:adjustRightInd w:val="0"/>
              <w:snapToGrid w:val="0"/>
              <w:spacing w:line="360" w:lineRule="auto"/>
              <w:jc w:val="center"/>
              <w:textAlignment w:val="baseline"/>
              <w:rPr>
                <w:rFonts w:hint="default" w:ascii="Times New Roman" w:hAnsi="Times New Roman" w:eastAsia="宋体" w:cs="Times New Roman"/>
                <w:b/>
                <w:bCs/>
                <w:szCs w:val="22"/>
                <w:highlight w:val="none"/>
                <w:lang w:val="en-US" w:eastAsia="zh-CN"/>
              </w:rPr>
            </w:pPr>
            <w:r>
              <w:rPr>
                <w:rFonts w:hint="eastAsia" w:ascii="Times New Roman" w:hAnsi="Times New Roman" w:eastAsia="宋体" w:cs="Times New Roman"/>
                <w:b/>
                <w:bCs/>
                <w:szCs w:val="22"/>
                <w:highlight w:val="none"/>
                <w:lang w:val="en-US" w:eastAsia="zh-CN"/>
              </w:rPr>
              <w:t>响应单价</w:t>
            </w:r>
          </w:p>
          <w:p>
            <w:pPr>
              <w:adjustRightInd w:val="0"/>
              <w:snapToGrid w:val="0"/>
              <w:spacing w:line="360" w:lineRule="auto"/>
              <w:jc w:val="center"/>
              <w:textAlignment w:val="baseline"/>
              <w:rPr>
                <w:rFonts w:hint="eastAsia" w:ascii="Times New Roman" w:hAnsi="Times New Roman" w:eastAsia="宋体" w:cs="Times New Roman"/>
                <w:b/>
                <w:bCs/>
                <w:szCs w:val="22"/>
                <w:highlight w:val="none"/>
              </w:rPr>
            </w:pPr>
            <w:r>
              <w:rPr>
                <w:rFonts w:hint="eastAsia" w:ascii="Times New Roman" w:hAnsi="Times New Roman" w:eastAsia="宋体" w:cs="Times New Roman"/>
                <w:b/>
                <w:bCs/>
                <w:szCs w:val="22"/>
                <w:highlight w:val="none"/>
              </w:rPr>
              <w:t>(元/kwh)</w:t>
            </w:r>
          </w:p>
        </w:tc>
        <w:tc>
          <w:tcPr>
            <w:tcW w:w="1590" w:type="dxa"/>
            <w:noWrap w:val="0"/>
            <w:vAlign w:val="center"/>
          </w:tcPr>
          <w:p>
            <w:pPr>
              <w:adjustRightInd w:val="0"/>
              <w:snapToGrid w:val="0"/>
              <w:spacing w:line="360" w:lineRule="auto"/>
              <w:jc w:val="center"/>
              <w:textAlignment w:val="baseline"/>
              <w:rPr>
                <w:rFonts w:hint="default" w:ascii="Times New Roman" w:hAnsi="Times New Roman" w:eastAsia="宋体" w:cs="Times New Roman"/>
                <w:b/>
                <w:bCs/>
                <w:szCs w:val="22"/>
                <w:highlight w:val="none"/>
                <w:lang w:val="en-US" w:eastAsia="zh-CN"/>
              </w:rPr>
            </w:pPr>
            <w:r>
              <w:rPr>
                <w:rFonts w:hint="eastAsia" w:ascii="Times New Roman" w:hAnsi="Times New Roman" w:eastAsia="宋体" w:cs="Times New Roman"/>
                <w:b/>
                <w:bCs/>
                <w:szCs w:val="22"/>
                <w:highlight w:val="none"/>
                <w:lang w:val="en-US" w:eastAsia="zh-CN"/>
              </w:rPr>
              <w:t>响应总价（元）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jc w:val="center"/>
        </w:trPr>
        <w:tc>
          <w:tcPr>
            <w:tcW w:w="2245" w:type="dxa"/>
            <w:noWrap w:val="0"/>
            <w:vAlign w:val="center"/>
          </w:tcPr>
          <w:p>
            <w:pPr>
              <w:adjustRightInd w:val="0"/>
              <w:snapToGrid w:val="0"/>
              <w:spacing w:line="360" w:lineRule="auto"/>
              <w:jc w:val="both"/>
              <w:textAlignment w:val="baseline"/>
              <w:rPr>
                <w:rFonts w:hint="eastAsia" w:ascii="Times New Roman" w:hAnsi="Times New Roman" w:eastAsia="宋体" w:cs="Times New Roman"/>
                <w:szCs w:val="22"/>
                <w:highlight w:val="none"/>
              </w:rPr>
            </w:pPr>
            <w:r>
              <w:rPr>
                <w:rFonts w:hint="eastAsia" w:ascii="Times New Roman" w:hAnsi="Times New Roman" w:eastAsia="宋体" w:cs="Times New Roman"/>
                <w:szCs w:val="22"/>
                <w:highlight w:val="none"/>
              </w:rPr>
              <w:t>磷酸铁锂动力电 池组 (不得采用梯次电芯) 及相关组件</w:t>
            </w:r>
          </w:p>
        </w:tc>
        <w:tc>
          <w:tcPr>
            <w:tcW w:w="1218" w:type="dxa"/>
            <w:noWrap w:val="0"/>
            <w:vAlign w:val="center"/>
          </w:tcPr>
          <w:p>
            <w:pPr>
              <w:adjustRightInd w:val="0"/>
              <w:snapToGrid w:val="0"/>
              <w:spacing w:line="360" w:lineRule="auto"/>
              <w:jc w:val="center"/>
              <w:textAlignment w:val="baseline"/>
              <w:rPr>
                <w:rFonts w:hint="eastAsia" w:ascii="Times New Roman" w:hAnsi="Times New Roman" w:eastAsia="宋体" w:cs="Times New Roman"/>
                <w:szCs w:val="22"/>
                <w:highlight w:val="none"/>
              </w:rPr>
            </w:pPr>
            <w:r>
              <w:rPr>
                <w:rFonts w:hint="eastAsia" w:ascii="Times New Roman" w:hAnsi="Times New Roman" w:eastAsia="宋体" w:cs="Times New Roman"/>
                <w:szCs w:val="22"/>
                <w:highlight w:val="none"/>
              </w:rPr>
              <w:t>套</w:t>
            </w:r>
          </w:p>
        </w:tc>
        <w:tc>
          <w:tcPr>
            <w:tcW w:w="834" w:type="dxa"/>
            <w:noWrap w:val="0"/>
            <w:vAlign w:val="center"/>
          </w:tcPr>
          <w:p>
            <w:pPr>
              <w:adjustRightInd w:val="0"/>
              <w:snapToGrid w:val="0"/>
              <w:spacing w:line="360" w:lineRule="auto"/>
              <w:jc w:val="center"/>
              <w:textAlignment w:val="baseline"/>
              <w:rPr>
                <w:rFonts w:hint="eastAsia" w:ascii="Times New Roman" w:hAnsi="Times New Roman" w:eastAsia="宋体" w:cs="Times New Roman"/>
                <w:szCs w:val="22"/>
                <w:highlight w:val="none"/>
              </w:rPr>
            </w:pPr>
            <w:r>
              <w:rPr>
                <w:rFonts w:hint="eastAsia" w:ascii="Times New Roman" w:hAnsi="Times New Roman" w:eastAsia="宋体" w:cs="Times New Roman"/>
                <w:szCs w:val="22"/>
                <w:highlight w:val="none"/>
                <w:lang w:val="en-US" w:eastAsia="zh-CN"/>
              </w:rPr>
              <w:t>2</w:t>
            </w:r>
            <w:r>
              <w:rPr>
                <w:rFonts w:hint="eastAsia" w:ascii="Times New Roman" w:hAnsi="Times New Roman" w:eastAsia="宋体" w:cs="Times New Roman"/>
                <w:szCs w:val="22"/>
                <w:highlight w:val="none"/>
              </w:rPr>
              <w:t>0</w:t>
            </w:r>
          </w:p>
        </w:tc>
        <w:tc>
          <w:tcPr>
            <w:tcW w:w="1025" w:type="dxa"/>
            <w:noWrap w:val="0"/>
            <w:vAlign w:val="center"/>
          </w:tcPr>
          <w:p>
            <w:pPr>
              <w:adjustRightInd w:val="0"/>
              <w:snapToGrid w:val="0"/>
              <w:spacing w:line="360" w:lineRule="auto"/>
              <w:jc w:val="center"/>
              <w:textAlignment w:val="baseline"/>
              <w:rPr>
                <w:rFonts w:hint="default" w:ascii="Times New Roman" w:hAnsi="Times New Roman" w:eastAsia="宋体" w:cs="Times New Roman"/>
                <w:szCs w:val="22"/>
                <w:highlight w:val="none"/>
                <w:lang w:val="en-US"/>
              </w:rPr>
            </w:pPr>
            <w:r>
              <w:rPr>
                <w:rFonts w:hint="eastAsia" w:ascii="Times New Roman" w:hAnsi="Times New Roman" w:eastAsia="宋体" w:cs="Times New Roman"/>
                <w:szCs w:val="22"/>
                <w:highlight w:val="none"/>
                <w:lang w:val="en-US" w:eastAsia="zh-CN"/>
              </w:rPr>
              <w:t>2100</w:t>
            </w:r>
          </w:p>
        </w:tc>
        <w:tc>
          <w:tcPr>
            <w:tcW w:w="1508" w:type="dxa"/>
            <w:noWrap w:val="0"/>
            <w:vAlign w:val="center"/>
          </w:tcPr>
          <w:p>
            <w:pPr>
              <w:adjustRightInd w:val="0"/>
              <w:snapToGrid w:val="0"/>
              <w:spacing w:line="360" w:lineRule="auto"/>
              <w:jc w:val="both"/>
              <w:textAlignment w:val="baseline"/>
              <w:rPr>
                <w:rFonts w:hint="eastAsia" w:ascii="Times New Roman" w:hAnsi="Times New Roman" w:eastAsia="宋体" w:cs="Times New Roman"/>
                <w:szCs w:val="22"/>
                <w:highlight w:val="none"/>
                <w:lang w:eastAsia="zh-CN"/>
              </w:rPr>
            </w:pPr>
          </w:p>
        </w:tc>
        <w:tc>
          <w:tcPr>
            <w:tcW w:w="1590" w:type="dxa"/>
            <w:noWrap w:val="0"/>
            <w:vAlign w:val="center"/>
          </w:tcPr>
          <w:p>
            <w:pPr>
              <w:adjustRightInd w:val="0"/>
              <w:snapToGrid w:val="0"/>
              <w:spacing w:line="360" w:lineRule="auto"/>
              <w:jc w:val="center"/>
              <w:textAlignment w:val="baseline"/>
              <w:rPr>
                <w:rFonts w:hint="default" w:ascii="Times New Roman" w:hAnsi="Times New Roman" w:eastAsia="宋体" w:cs="Times New Roman"/>
                <w:b/>
                <w:bCs/>
                <w:szCs w:val="22"/>
                <w:highlight w:val="none"/>
                <w:lang w:val="en-US" w:eastAsia="zh-CN"/>
              </w:rPr>
            </w:pPr>
            <w:r>
              <w:rPr>
                <w:rFonts w:hint="eastAsia" w:ascii="Times New Roman" w:hAnsi="Times New Roman" w:eastAsia="宋体" w:cs="Times New Roman"/>
                <w:b/>
                <w:bCs/>
                <w:szCs w:val="22"/>
                <w:highlight w:val="none"/>
                <w:lang w:val="en-US" w:eastAsia="zh-CN"/>
              </w:rPr>
              <w:t>响应单价*</w:t>
            </w:r>
            <w:r>
              <w:rPr>
                <w:rFonts w:hint="eastAsia" w:ascii="Times New Roman" w:hAnsi="Times New Roman" w:eastAsia="宋体" w:cs="Times New Roman"/>
                <w:b/>
                <w:bCs/>
                <w:szCs w:val="22"/>
                <w:highlight w:val="none"/>
              </w:rPr>
              <w:t>最低总电</w:t>
            </w:r>
            <w:r>
              <w:rPr>
                <w:rFonts w:hint="eastAsia" w:ascii="Times New Roman" w:hAnsi="Times New Roman" w:eastAsia="宋体" w:cs="Times New Roman"/>
                <w:b/>
                <w:bCs/>
                <w:szCs w:val="22"/>
                <w:highlight w:val="none"/>
                <w:lang w:val="en-US" w:eastAsia="zh-CN"/>
              </w:rPr>
              <w:t>=</w:t>
            </w:r>
            <w:r>
              <w:rPr>
                <w:rFonts w:hint="eastAsia" w:ascii="Times New Roman" w:hAnsi="Times New Roman" w:eastAsia="宋体" w:cs="Times New Roman"/>
                <w:b/>
                <w:bCs/>
                <w:szCs w:val="22"/>
                <w:highlight w:val="none"/>
                <w:u w:val="single"/>
                <w:lang w:val="en-US" w:eastAsia="zh-CN"/>
              </w:rPr>
              <w:t xml:space="preserve">     </w:t>
            </w:r>
            <w:r>
              <w:rPr>
                <w:rFonts w:hint="eastAsia" w:ascii="Times New Roman" w:hAnsi="Times New Roman" w:eastAsia="宋体" w:cs="Times New Roman"/>
                <w:b/>
                <w:bCs/>
                <w:szCs w:val="22"/>
                <w:highlight w:val="none"/>
                <w:lang w:val="en-US" w:eastAsia="zh-CN"/>
              </w:rPr>
              <w:t>元</w:t>
            </w:r>
          </w:p>
          <w:p>
            <w:pPr>
              <w:adjustRightInd w:val="0"/>
              <w:snapToGrid w:val="0"/>
              <w:spacing w:line="360" w:lineRule="auto"/>
              <w:jc w:val="center"/>
              <w:textAlignment w:val="baseline"/>
              <w:rPr>
                <w:rFonts w:hint="eastAsia" w:ascii="Times New Roman" w:hAnsi="Times New Roman" w:eastAsia="宋体" w:cs="Times New Roman"/>
                <w:szCs w:val="22"/>
                <w:highlight w:val="none"/>
                <w:lang w:eastAsia="zh-CN"/>
              </w:rPr>
            </w:pPr>
          </w:p>
        </w:tc>
      </w:tr>
    </w:tbl>
    <w:p>
      <w:pPr>
        <w:jc w:val="center"/>
        <w:rPr>
          <w:rFonts w:hint="eastAsia" w:ascii="仿宋" w:hAnsi="仿宋" w:eastAsia="仿宋"/>
          <w:sz w:val="30"/>
          <w:szCs w:val="30"/>
          <w:highlight w:val="none"/>
        </w:rPr>
      </w:pPr>
      <w:r>
        <w:rPr>
          <w:rFonts w:hint="eastAsia" w:ascii="仿宋" w:hAnsi="仿宋" w:eastAsia="仿宋"/>
          <w:sz w:val="30"/>
          <w:szCs w:val="30"/>
          <w:highlight w:val="none"/>
        </w:rPr>
        <w:t xml:space="preserve">        </w:t>
      </w:r>
    </w:p>
    <w:p>
      <w:pPr>
        <w:jc w:val="center"/>
        <w:rPr>
          <w:rFonts w:hint="eastAsia" w:ascii="仿宋" w:hAnsi="仿宋" w:eastAsia="仿宋"/>
          <w:sz w:val="30"/>
          <w:szCs w:val="30"/>
          <w:highlight w:val="none"/>
        </w:rPr>
      </w:pPr>
    </w:p>
    <w:p>
      <w:pPr>
        <w:jc w:val="center"/>
        <w:rPr>
          <w:rFonts w:ascii="仿宋" w:hAnsi="仿宋" w:eastAsia="仿宋"/>
          <w:sz w:val="30"/>
          <w:szCs w:val="30"/>
          <w:highlight w:val="none"/>
        </w:rPr>
      </w:pPr>
      <w:r>
        <w:rPr>
          <w:rFonts w:hint="eastAsia" w:ascii="仿宋" w:hAnsi="仿宋" w:eastAsia="仿宋"/>
          <w:sz w:val="30"/>
          <w:szCs w:val="30"/>
          <w:highlight w:val="none"/>
          <w:lang w:val="en-US" w:eastAsia="zh-CN"/>
        </w:rPr>
        <w:t xml:space="preserve">       </w:t>
      </w:r>
      <w:r>
        <w:rPr>
          <w:rFonts w:hint="eastAsia" w:ascii="仿宋" w:hAnsi="仿宋" w:eastAsia="仿宋"/>
          <w:sz w:val="30"/>
          <w:szCs w:val="30"/>
          <w:highlight w:val="none"/>
        </w:rPr>
        <w:t>报价人（单位签章）：</w:t>
      </w:r>
    </w:p>
    <w:p>
      <w:pPr>
        <w:jc w:val="right"/>
        <w:rPr>
          <w:rFonts w:ascii="仿宋" w:hAnsi="仿宋" w:eastAsia="仿宋"/>
          <w:sz w:val="30"/>
          <w:szCs w:val="30"/>
          <w:highlight w:val="none"/>
        </w:rPr>
      </w:pPr>
      <w:r>
        <w:rPr>
          <w:rFonts w:hint="eastAsia" w:ascii="仿宋" w:hAnsi="仿宋" w:eastAsia="仿宋"/>
          <w:sz w:val="30"/>
          <w:szCs w:val="30"/>
          <w:highlight w:val="none"/>
        </w:rPr>
        <w:t xml:space="preserve">  法定代表人或其委托代理人（签名）：</w:t>
      </w:r>
    </w:p>
    <w:p>
      <w:pPr>
        <w:spacing w:line="440" w:lineRule="exact"/>
        <w:jc w:val="center"/>
        <w:rPr>
          <w:rFonts w:ascii="Times New Roman" w:hAnsi="Times New Roman" w:eastAsia="黑体" w:cs="Times New Roman"/>
          <w:sz w:val="24"/>
          <w:highlight w:val="none"/>
        </w:rPr>
      </w:pPr>
      <w:r>
        <w:rPr>
          <w:rFonts w:hint="eastAsia" w:ascii="仿宋" w:hAnsi="仿宋" w:eastAsia="仿宋"/>
          <w:sz w:val="30"/>
          <w:szCs w:val="30"/>
          <w:highlight w:val="none"/>
        </w:rPr>
        <w:t xml:space="preserve">    </w:t>
      </w:r>
      <w:r>
        <w:rPr>
          <w:rFonts w:hint="eastAsia" w:ascii="仿宋" w:hAnsi="仿宋" w:eastAsia="仿宋"/>
          <w:sz w:val="30"/>
          <w:szCs w:val="30"/>
          <w:highlight w:val="none"/>
          <w:lang w:val="en-US" w:eastAsia="zh-CN"/>
        </w:rPr>
        <w:t xml:space="preserve">    </w:t>
      </w:r>
      <w:r>
        <w:rPr>
          <w:rFonts w:hint="eastAsia" w:ascii="仿宋" w:hAnsi="仿宋" w:eastAsia="仿宋"/>
          <w:sz w:val="30"/>
          <w:szCs w:val="30"/>
          <w:highlight w:val="none"/>
        </w:rPr>
        <w:t>日期：</w:t>
      </w:r>
      <w:r>
        <w:rPr>
          <w:rFonts w:hint="eastAsia" w:ascii="仿宋" w:hAnsi="仿宋" w:eastAsia="仿宋"/>
          <w:sz w:val="30"/>
          <w:szCs w:val="30"/>
          <w:highlight w:val="none"/>
          <w:lang w:val="en-US" w:eastAsia="zh-CN"/>
        </w:rPr>
        <w:t xml:space="preserve">   </w:t>
      </w:r>
      <w:r>
        <w:rPr>
          <w:rFonts w:hint="eastAsia" w:ascii="仿宋" w:hAnsi="仿宋" w:eastAsia="仿宋"/>
          <w:sz w:val="30"/>
          <w:szCs w:val="30"/>
          <w:highlight w:val="none"/>
        </w:rPr>
        <w:t>年</w:t>
      </w:r>
      <w:r>
        <w:rPr>
          <w:rFonts w:hint="eastAsia" w:ascii="仿宋" w:hAnsi="仿宋" w:eastAsia="仿宋"/>
          <w:sz w:val="30"/>
          <w:szCs w:val="30"/>
          <w:highlight w:val="none"/>
          <w:lang w:val="en-US" w:eastAsia="zh-CN"/>
        </w:rPr>
        <w:t xml:space="preserve">  </w:t>
      </w:r>
      <w:r>
        <w:rPr>
          <w:rFonts w:hint="eastAsia" w:ascii="仿宋" w:hAnsi="仿宋" w:eastAsia="仿宋"/>
          <w:sz w:val="30"/>
          <w:szCs w:val="30"/>
          <w:highlight w:val="none"/>
        </w:rPr>
        <w:t>月</w:t>
      </w:r>
      <w:r>
        <w:rPr>
          <w:rFonts w:hint="eastAsia" w:ascii="仿宋" w:hAnsi="仿宋" w:eastAsia="仿宋"/>
          <w:sz w:val="30"/>
          <w:szCs w:val="30"/>
          <w:highlight w:val="none"/>
          <w:lang w:val="en-US" w:eastAsia="zh-CN"/>
        </w:rPr>
        <w:t xml:space="preserve">   </w:t>
      </w:r>
      <w:r>
        <w:rPr>
          <w:rFonts w:hint="eastAsia" w:ascii="仿宋" w:hAnsi="仿宋" w:eastAsia="仿宋"/>
          <w:sz w:val="30"/>
          <w:szCs w:val="30"/>
          <w:highlight w:val="none"/>
        </w:rPr>
        <w:t>日</w:t>
      </w:r>
    </w:p>
    <w:p>
      <w:pPr>
        <w:rPr>
          <w:highlight w:val="none"/>
        </w:rPr>
      </w:pPr>
    </w:p>
    <w:p>
      <w:pPr>
        <w:spacing w:line="440" w:lineRule="exact"/>
        <w:jc w:val="center"/>
        <w:rPr>
          <w:highlight w:val="none"/>
        </w:rPr>
      </w:pPr>
    </w:p>
    <w:p>
      <w:pPr>
        <w:spacing w:line="440" w:lineRule="exact"/>
        <w:jc w:val="center"/>
        <w:rPr>
          <w:highlight w:val="none"/>
        </w:rPr>
      </w:pPr>
    </w:p>
    <w:p>
      <w:pPr>
        <w:spacing w:line="440" w:lineRule="exact"/>
        <w:jc w:val="center"/>
        <w:rPr>
          <w:highlight w:val="none"/>
        </w:rPr>
      </w:pPr>
    </w:p>
    <w:p>
      <w:pPr>
        <w:spacing w:line="440" w:lineRule="exact"/>
        <w:jc w:val="center"/>
        <w:rPr>
          <w:highlight w:val="none"/>
        </w:rPr>
      </w:pPr>
    </w:p>
    <w:p>
      <w:pPr>
        <w:spacing w:line="440" w:lineRule="exact"/>
        <w:jc w:val="center"/>
        <w:rPr>
          <w:highlight w:val="none"/>
        </w:rPr>
      </w:pPr>
    </w:p>
    <w:p>
      <w:pPr>
        <w:spacing w:line="440" w:lineRule="exact"/>
        <w:jc w:val="center"/>
        <w:rPr>
          <w:highlight w:val="none"/>
        </w:rPr>
      </w:pPr>
    </w:p>
    <w:p>
      <w:pPr>
        <w:spacing w:line="440" w:lineRule="exact"/>
        <w:jc w:val="center"/>
        <w:rPr>
          <w:highlight w:val="none"/>
        </w:rPr>
      </w:pPr>
    </w:p>
    <w:p>
      <w:pPr>
        <w:spacing w:line="440" w:lineRule="exact"/>
        <w:jc w:val="center"/>
        <w:rPr>
          <w:highlight w:val="none"/>
        </w:rPr>
      </w:pPr>
    </w:p>
    <w:p>
      <w:pPr>
        <w:spacing w:line="440" w:lineRule="exact"/>
        <w:jc w:val="center"/>
        <w:rPr>
          <w:highlight w:val="none"/>
        </w:rPr>
      </w:pPr>
    </w:p>
    <w:p>
      <w:pPr>
        <w:spacing w:line="440" w:lineRule="exact"/>
        <w:jc w:val="center"/>
        <w:rPr>
          <w:highlight w:val="none"/>
        </w:rPr>
      </w:pPr>
    </w:p>
    <w:p>
      <w:pPr>
        <w:spacing w:line="440" w:lineRule="exact"/>
        <w:jc w:val="center"/>
        <w:rPr>
          <w:highlight w:val="none"/>
        </w:rPr>
      </w:pPr>
    </w:p>
    <w:p>
      <w:pPr>
        <w:spacing w:line="440" w:lineRule="exact"/>
        <w:jc w:val="center"/>
        <w:rPr>
          <w:highlight w:val="none"/>
        </w:rPr>
      </w:pPr>
    </w:p>
    <w:p>
      <w:pPr>
        <w:numPr>
          <w:ilvl w:val="0"/>
          <w:numId w:val="6"/>
        </w:numPr>
        <w:topLinePunct/>
        <w:spacing w:line="440" w:lineRule="exact"/>
        <w:jc w:val="center"/>
        <w:rPr>
          <w:rFonts w:ascii="Times New Roman" w:hAnsi="Times New Roman" w:eastAsia="黑体" w:cs="Times New Roman"/>
          <w:sz w:val="28"/>
          <w:szCs w:val="28"/>
          <w:highlight w:val="none"/>
        </w:rPr>
      </w:pPr>
      <w:bookmarkStart w:id="174" w:name="_Toc7738_WPSOffice_Level1"/>
      <w:bookmarkStart w:id="175" w:name="_Toc10436_WPSOffice_Level1"/>
      <w:bookmarkStart w:id="176" w:name="_Toc23545_WPSOffice_Level1"/>
      <w:bookmarkStart w:id="177" w:name="_Toc22815_WPSOffice_Level1"/>
      <w:bookmarkStart w:id="178" w:name="_Toc31445_WPSOffice_Level1"/>
      <w:bookmarkStart w:id="179" w:name="_Toc27600_WPSOffice_Level2"/>
      <w:bookmarkStart w:id="180" w:name="_Toc2807_WPSOffice_Level2"/>
      <w:r>
        <w:rPr>
          <w:rFonts w:ascii="Times New Roman" w:hAnsi="Times New Roman" w:eastAsia="黑体" w:cs="Times New Roman"/>
          <w:sz w:val="28"/>
          <w:szCs w:val="28"/>
          <w:highlight w:val="none"/>
        </w:rPr>
        <w:t>供应商基本情况</w:t>
      </w:r>
      <w:bookmarkEnd w:id="174"/>
      <w:bookmarkEnd w:id="175"/>
      <w:bookmarkEnd w:id="176"/>
      <w:bookmarkEnd w:id="177"/>
      <w:bookmarkEnd w:id="178"/>
      <w:bookmarkEnd w:id="179"/>
      <w:bookmarkEnd w:id="180"/>
    </w:p>
    <w:p>
      <w:pPr>
        <w:numPr>
          <w:ilvl w:val="0"/>
          <w:numId w:val="0"/>
        </w:numPr>
        <w:topLinePunct/>
        <w:spacing w:line="440" w:lineRule="exact"/>
        <w:jc w:val="both"/>
        <w:rPr>
          <w:rFonts w:ascii="Times New Roman" w:hAnsi="Times New Roman" w:eastAsia="黑体" w:cs="Times New Roman"/>
          <w:sz w:val="28"/>
          <w:szCs w:val="28"/>
          <w:highlight w:val="none"/>
        </w:rPr>
      </w:pPr>
    </w:p>
    <w:tbl>
      <w:tblPr>
        <w:tblStyle w:val="14"/>
        <w:tblW w:w="89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74"/>
        <w:gridCol w:w="945"/>
        <w:gridCol w:w="2409"/>
        <w:gridCol w:w="1135"/>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4" w:type="dxa"/>
            <w:tcBorders>
              <w:top w:val="single" w:color="auto" w:sz="4" w:space="0"/>
              <w:left w:val="single" w:color="auto" w:sz="4" w:space="0"/>
              <w:bottom w:val="single" w:color="auto" w:sz="4" w:space="0"/>
              <w:right w:val="single" w:color="auto" w:sz="4" w:space="0"/>
            </w:tcBorders>
            <w:vAlign w:val="center"/>
          </w:tcPr>
          <w:p>
            <w:pPr>
              <w:topLinePunct/>
              <w:jc w:val="center"/>
              <w:rPr>
                <w:highlight w:val="none"/>
              </w:rPr>
            </w:pPr>
            <w:r>
              <w:rPr>
                <w:rFonts w:hint="eastAsia"/>
                <w:highlight w:val="none"/>
                <w:lang w:val="en-US" w:eastAsia="zh-CN"/>
              </w:rPr>
              <w:t>响应</w:t>
            </w:r>
            <w:r>
              <w:rPr>
                <w:highlight w:val="none"/>
              </w:rPr>
              <w:t>人名称</w:t>
            </w:r>
          </w:p>
        </w:tc>
        <w:tc>
          <w:tcPr>
            <w:tcW w:w="6757"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4" w:type="dxa"/>
            <w:tcBorders>
              <w:top w:val="single" w:color="auto" w:sz="4" w:space="0"/>
              <w:left w:val="single" w:color="auto" w:sz="4" w:space="0"/>
              <w:bottom w:val="single" w:color="auto" w:sz="4" w:space="0"/>
              <w:right w:val="single" w:color="auto" w:sz="4" w:space="0"/>
            </w:tcBorders>
            <w:vAlign w:val="center"/>
          </w:tcPr>
          <w:p>
            <w:pPr>
              <w:topLinePunct/>
              <w:jc w:val="center"/>
              <w:rPr>
                <w:highlight w:val="none"/>
              </w:rPr>
            </w:pPr>
            <w:r>
              <w:rPr>
                <w:highlight w:val="none"/>
              </w:rPr>
              <w:t>注册</w:t>
            </w:r>
            <w:r>
              <w:rPr>
                <w:szCs w:val="21"/>
                <w:highlight w:val="none"/>
              </w:rPr>
              <w:t>资金</w:t>
            </w:r>
          </w:p>
        </w:tc>
        <w:tc>
          <w:tcPr>
            <w:tcW w:w="3354"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jc w:val="center"/>
              <w:rPr>
                <w:highlight w:val="none"/>
              </w:rPr>
            </w:pPr>
            <w:r>
              <w:rPr>
                <w:szCs w:val="21"/>
                <w:highlight w:val="none"/>
              </w:rPr>
              <w:t>成立时间</w:t>
            </w:r>
          </w:p>
        </w:tc>
        <w:tc>
          <w:tcPr>
            <w:tcW w:w="2268" w:type="dxa"/>
            <w:tcBorders>
              <w:top w:val="single" w:color="auto" w:sz="4" w:space="0"/>
              <w:left w:val="single" w:color="auto" w:sz="4" w:space="0"/>
              <w:bottom w:val="single" w:color="auto" w:sz="4" w:space="0"/>
              <w:right w:val="single" w:color="auto" w:sz="4" w:space="0"/>
            </w:tcBorders>
            <w:vAlign w:val="center"/>
          </w:tcPr>
          <w:p>
            <w:pPr>
              <w:topLinePunct/>
              <w:jc w:val="center"/>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4"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r>
              <w:rPr>
                <w:szCs w:val="21"/>
                <w:highlight w:val="none"/>
              </w:rPr>
              <w:t>注册地址</w:t>
            </w:r>
          </w:p>
        </w:tc>
        <w:tc>
          <w:tcPr>
            <w:tcW w:w="6757"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4"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r>
              <w:rPr>
                <w:szCs w:val="21"/>
                <w:highlight w:val="none"/>
              </w:rPr>
              <w:t>邮政编码</w:t>
            </w:r>
          </w:p>
        </w:tc>
        <w:tc>
          <w:tcPr>
            <w:tcW w:w="3354"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r>
              <w:rPr>
                <w:szCs w:val="21"/>
                <w:highlight w:val="none"/>
              </w:rPr>
              <w:t>员工总数</w:t>
            </w:r>
          </w:p>
        </w:tc>
        <w:tc>
          <w:tcPr>
            <w:tcW w:w="2268"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4" w:type="dxa"/>
            <w:vMerge w:val="restart"/>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r>
              <w:rPr>
                <w:szCs w:val="21"/>
                <w:highlight w:val="none"/>
              </w:rPr>
              <w:t>联系方式</w:t>
            </w:r>
          </w:p>
        </w:tc>
        <w:tc>
          <w:tcPr>
            <w:tcW w:w="945"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r>
              <w:rPr>
                <w:szCs w:val="21"/>
                <w:highlight w:val="none"/>
              </w:rPr>
              <w:t>联系人</w:t>
            </w:r>
          </w:p>
        </w:tc>
        <w:tc>
          <w:tcPr>
            <w:tcW w:w="2409"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r>
              <w:rPr>
                <w:szCs w:val="21"/>
                <w:highlight w:val="none"/>
              </w:rPr>
              <w:t>电话</w:t>
            </w:r>
          </w:p>
        </w:tc>
        <w:tc>
          <w:tcPr>
            <w:tcW w:w="2268"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4" w:type="dxa"/>
            <w:vMerge w:val="continue"/>
            <w:tcBorders>
              <w:top w:val="single" w:color="auto" w:sz="4" w:space="0"/>
              <w:left w:val="single" w:color="auto" w:sz="4" w:space="0"/>
              <w:bottom w:val="single" w:color="auto" w:sz="4" w:space="0"/>
              <w:right w:val="single" w:color="auto" w:sz="4" w:space="0"/>
            </w:tcBorders>
            <w:vAlign w:val="center"/>
          </w:tcPr>
          <w:p>
            <w:pPr>
              <w:rPr>
                <w:highlight w:val="none"/>
              </w:rPr>
            </w:pPr>
          </w:p>
        </w:tc>
        <w:tc>
          <w:tcPr>
            <w:tcW w:w="945"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r>
              <w:rPr>
                <w:szCs w:val="21"/>
                <w:highlight w:val="none"/>
              </w:rPr>
              <w:t>网址</w:t>
            </w:r>
          </w:p>
        </w:tc>
        <w:tc>
          <w:tcPr>
            <w:tcW w:w="2409"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r>
              <w:rPr>
                <w:szCs w:val="21"/>
                <w:highlight w:val="none"/>
              </w:rPr>
              <w:t>传真</w:t>
            </w:r>
          </w:p>
        </w:tc>
        <w:tc>
          <w:tcPr>
            <w:tcW w:w="2268"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4"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r>
              <w:rPr>
                <w:szCs w:val="21"/>
                <w:highlight w:val="none"/>
              </w:rPr>
              <w:t>法定代表人</w:t>
            </w:r>
          </w:p>
          <w:p>
            <w:pPr>
              <w:topLinePunct/>
              <w:jc w:val="center"/>
              <w:rPr>
                <w:szCs w:val="21"/>
                <w:highlight w:val="none"/>
              </w:rPr>
            </w:pPr>
            <w:r>
              <w:rPr>
                <w:highlight w:val="none"/>
              </w:rPr>
              <w:t>（单位负责人）</w:t>
            </w:r>
          </w:p>
        </w:tc>
        <w:tc>
          <w:tcPr>
            <w:tcW w:w="945"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r>
              <w:rPr>
                <w:szCs w:val="21"/>
                <w:highlight w:val="none"/>
              </w:rPr>
              <w:t>姓名</w:t>
            </w:r>
          </w:p>
        </w:tc>
        <w:tc>
          <w:tcPr>
            <w:tcW w:w="2409"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r>
              <w:rPr>
                <w:szCs w:val="21"/>
                <w:highlight w:val="none"/>
              </w:rPr>
              <w:t>电话</w:t>
            </w:r>
          </w:p>
        </w:tc>
        <w:tc>
          <w:tcPr>
            <w:tcW w:w="2268"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4" w:type="dxa"/>
            <w:tcBorders>
              <w:top w:val="single" w:color="auto" w:sz="4" w:space="0"/>
              <w:left w:val="single" w:color="auto" w:sz="4" w:space="0"/>
              <w:bottom w:val="single" w:color="auto" w:sz="4" w:space="0"/>
              <w:right w:val="single" w:color="auto" w:sz="4" w:space="0"/>
            </w:tcBorders>
            <w:vAlign w:val="center"/>
          </w:tcPr>
          <w:p>
            <w:pPr>
              <w:topLinePunct/>
              <w:jc w:val="center"/>
              <w:rPr>
                <w:highlight w:val="none"/>
              </w:rPr>
            </w:pPr>
            <w:r>
              <w:rPr>
                <w:szCs w:val="21"/>
                <w:highlight w:val="none"/>
              </w:rPr>
              <w:t>基本账户开户银行</w:t>
            </w:r>
          </w:p>
        </w:tc>
        <w:tc>
          <w:tcPr>
            <w:tcW w:w="6757" w:type="dxa"/>
            <w:gridSpan w:val="4"/>
            <w:tcBorders>
              <w:top w:val="single" w:color="auto" w:sz="4" w:space="0"/>
              <w:left w:val="single" w:color="auto" w:sz="4" w:space="0"/>
              <w:bottom w:val="single" w:color="auto" w:sz="4" w:space="0"/>
              <w:right w:val="single" w:color="auto" w:sz="4" w:space="0"/>
            </w:tcBorders>
            <w:vAlign w:val="center"/>
          </w:tcPr>
          <w:p>
            <w:pPr>
              <w:topLinePunct/>
              <w:ind w:firstLine="105" w:firstLineChars="50"/>
              <w:rPr>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4" w:type="dxa"/>
            <w:tcBorders>
              <w:top w:val="single" w:color="auto" w:sz="4" w:space="0"/>
              <w:left w:val="single" w:color="auto" w:sz="4" w:space="0"/>
              <w:right w:val="single" w:color="auto" w:sz="4" w:space="0"/>
            </w:tcBorders>
            <w:vAlign w:val="center"/>
          </w:tcPr>
          <w:p>
            <w:pPr>
              <w:topLinePunct/>
              <w:jc w:val="center"/>
              <w:rPr>
                <w:szCs w:val="21"/>
                <w:highlight w:val="none"/>
              </w:rPr>
            </w:pPr>
            <w:r>
              <w:rPr>
                <w:szCs w:val="21"/>
                <w:highlight w:val="none"/>
              </w:rPr>
              <w:t>基本账户银行账号</w:t>
            </w:r>
          </w:p>
        </w:tc>
        <w:tc>
          <w:tcPr>
            <w:tcW w:w="6757" w:type="dxa"/>
            <w:gridSpan w:val="4"/>
            <w:tcBorders>
              <w:top w:val="single" w:color="auto" w:sz="4" w:space="0"/>
              <w:left w:val="single" w:color="auto" w:sz="4" w:space="0"/>
              <w:right w:val="single" w:color="auto" w:sz="4" w:space="0"/>
            </w:tcBorders>
            <w:vAlign w:val="center"/>
          </w:tcPr>
          <w:p>
            <w:pPr>
              <w:topLinePunct/>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4" w:type="dxa"/>
            <w:tcBorders>
              <w:top w:val="single" w:color="auto" w:sz="4" w:space="0"/>
              <w:left w:val="single" w:color="auto" w:sz="4" w:space="0"/>
              <w:right w:val="single" w:color="auto" w:sz="4" w:space="0"/>
            </w:tcBorders>
            <w:vAlign w:val="center"/>
          </w:tcPr>
          <w:p>
            <w:pPr>
              <w:topLinePunct/>
              <w:jc w:val="center"/>
              <w:rPr>
                <w:szCs w:val="21"/>
                <w:highlight w:val="none"/>
              </w:rPr>
            </w:pPr>
            <w:r>
              <w:rPr>
                <w:szCs w:val="21"/>
                <w:highlight w:val="none"/>
              </w:rPr>
              <w:t>近三年营业额</w:t>
            </w:r>
          </w:p>
        </w:tc>
        <w:tc>
          <w:tcPr>
            <w:tcW w:w="6757" w:type="dxa"/>
            <w:gridSpan w:val="4"/>
            <w:tcBorders>
              <w:top w:val="single" w:color="auto" w:sz="4" w:space="0"/>
              <w:left w:val="single" w:color="auto" w:sz="4" w:space="0"/>
              <w:right w:val="single" w:color="auto" w:sz="4" w:space="0"/>
            </w:tcBorders>
            <w:vAlign w:val="center"/>
          </w:tcPr>
          <w:p>
            <w:pPr>
              <w:topLinePunct/>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4" w:type="dxa"/>
            <w:tcBorders>
              <w:top w:val="single" w:color="auto" w:sz="4" w:space="0"/>
              <w:left w:val="single" w:color="auto" w:sz="4" w:space="0"/>
              <w:right w:val="single" w:color="auto" w:sz="4" w:space="0"/>
            </w:tcBorders>
            <w:vAlign w:val="center"/>
          </w:tcPr>
          <w:p>
            <w:pPr>
              <w:topLinePunct/>
              <w:jc w:val="center"/>
              <w:rPr>
                <w:szCs w:val="21"/>
                <w:highlight w:val="none"/>
              </w:rPr>
            </w:pPr>
            <w:r>
              <w:rPr>
                <w:rFonts w:hint="eastAsia"/>
                <w:szCs w:val="21"/>
                <w:highlight w:val="none"/>
                <w:lang w:val="en-US" w:eastAsia="zh-CN"/>
              </w:rPr>
              <w:t>响应</w:t>
            </w:r>
            <w:r>
              <w:rPr>
                <w:szCs w:val="21"/>
                <w:highlight w:val="none"/>
              </w:rPr>
              <w:t>人关联企业情况（包括但不限于与</w:t>
            </w:r>
            <w:r>
              <w:rPr>
                <w:rFonts w:hint="eastAsia"/>
                <w:szCs w:val="21"/>
                <w:highlight w:val="none"/>
                <w:lang w:val="en-US" w:eastAsia="zh-CN"/>
              </w:rPr>
              <w:t>响应</w:t>
            </w:r>
            <w:r>
              <w:rPr>
                <w:szCs w:val="21"/>
                <w:highlight w:val="none"/>
              </w:rPr>
              <w:t>人法定代表人（单位负责人）为同一人或者存在控股、管理关系的不同单位）</w:t>
            </w:r>
          </w:p>
        </w:tc>
        <w:tc>
          <w:tcPr>
            <w:tcW w:w="6757" w:type="dxa"/>
            <w:gridSpan w:val="4"/>
            <w:tcBorders>
              <w:top w:val="single" w:color="auto" w:sz="4" w:space="0"/>
              <w:left w:val="single" w:color="auto" w:sz="4" w:space="0"/>
              <w:right w:val="single" w:color="auto" w:sz="4" w:space="0"/>
            </w:tcBorders>
            <w:vAlign w:val="center"/>
          </w:tcPr>
          <w:p>
            <w:pPr>
              <w:topLinePunct/>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4" w:type="dxa"/>
            <w:tcBorders>
              <w:top w:val="single" w:color="auto" w:sz="4" w:space="0"/>
              <w:left w:val="single" w:color="auto" w:sz="4" w:space="0"/>
              <w:right w:val="single" w:color="auto" w:sz="4" w:space="0"/>
            </w:tcBorders>
            <w:vAlign w:val="center"/>
          </w:tcPr>
          <w:p>
            <w:pPr>
              <w:topLinePunct/>
              <w:jc w:val="center"/>
              <w:rPr>
                <w:szCs w:val="21"/>
                <w:highlight w:val="none"/>
              </w:rPr>
            </w:pPr>
            <w:r>
              <w:rPr>
                <w:rFonts w:hint="eastAsia"/>
                <w:szCs w:val="21"/>
                <w:highlight w:val="none"/>
                <w:lang w:val="en-US" w:eastAsia="zh-CN"/>
              </w:rPr>
              <w:t>响应</w:t>
            </w:r>
            <w:r>
              <w:rPr>
                <w:szCs w:val="21"/>
                <w:highlight w:val="none"/>
              </w:rPr>
              <w:t>货物制造商名称</w:t>
            </w:r>
          </w:p>
        </w:tc>
        <w:tc>
          <w:tcPr>
            <w:tcW w:w="6757" w:type="dxa"/>
            <w:gridSpan w:val="4"/>
            <w:tcBorders>
              <w:top w:val="single" w:color="auto" w:sz="4" w:space="0"/>
              <w:left w:val="single" w:color="auto" w:sz="4" w:space="0"/>
              <w:right w:val="single" w:color="auto" w:sz="4" w:space="0"/>
            </w:tcBorders>
            <w:vAlign w:val="center"/>
          </w:tcPr>
          <w:p>
            <w:pPr>
              <w:topLinePunct/>
              <w:rPr>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74" w:type="dxa"/>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r>
              <w:rPr>
                <w:szCs w:val="21"/>
                <w:highlight w:val="none"/>
              </w:rPr>
              <w:t>备注</w:t>
            </w:r>
          </w:p>
        </w:tc>
        <w:tc>
          <w:tcPr>
            <w:tcW w:w="6757" w:type="dxa"/>
            <w:gridSpan w:val="4"/>
            <w:tcBorders>
              <w:top w:val="single" w:color="auto" w:sz="4" w:space="0"/>
              <w:left w:val="single" w:color="auto" w:sz="4" w:space="0"/>
              <w:bottom w:val="single" w:color="auto" w:sz="4" w:space="0"/>
              <w:right w:val="single" w:color="auto" w:sz="4" w:space="0"/>
            </w:tcBorders>
            <w:vAlign w:val="center"/>
          </w:tcPr>
          <w:p>
            <w:pPr>
              <w:topLinePunct/>
              <w:jc w:val="center"/>
              <w:rPr>
                <w:szCs w:val="21"/>
                <w:highlight w:val="none"/>
              </w:rPr>
            </w:pPr>
          </w:p>
        </w:tc>
      </w:tr>
    </w:tbl>
    <w:p>
      <w:pPr>
        <w:topLinePunct/>
        <w:spacing w:line="440" w:lineRule="exact"/>
        <w:jc w:val="center"/>
        <w:rPr>
          <w:rFonts w:ascii="Times New Roman" w:hAnsi="Times New Roman" w:cs="Times New Roman"/>
          <w:sz w:val="23"/>
          <w:szCs w:val="23"/>
          <w:highlight w:val="none"/>
        </w:rPr>
      </w:pPr>
    </w:p>
    <w:p>
      <w:pPr>
        <w:widowControl/>
        <w:autoSpaceDE w:val="0"/>
        <w:autoSpaceDN w:val="0"/>
        <w:spacing w:line="360" w:lineRule="atLeast"/>
        <w:ind w:left="180"/>
        <w:textAlignment w:val="bottom"/>
        <w:rPr>
          <w:rFonts w:ascii="Times New Roman" w:hAnsi="Times New Roman" w:cs="Times New Roman"/>
          <w:sz w:val="20"/>
          <w:szCs w:val="20"/>
          <w:highlight w:val="none"/>
        </w:rPr>
      </w:pPr>
      <w:r>
        <w:rPr>
          <w:rFonts w:ascii="Times New Roman" w:hAnsi="Times New Roman" w:eastAsia="黑体" w:cs="Times New Roman"/>
          <w:szCs w:val="21"/>
          <w:highlight w:val="none"/>
        </w:rPr>
        <w:t>注：</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ascii="Times New Roman" w:hAnsi="Times New Roman" w:eastAsia="黑体" w:cs="Times New Roman"/>
          <w:szCs w:val="21"/>
          <w:highlight w:val="none"/>
        </w:rPr>
        <w:t>在本表后应附企业法人营业执照、资质证书</w:t>
      </w:r>
      <w:r>
        <w:rPr>
          <w:rFonts w:hint="eastAsia" w:ascii="Times New Roman" w:hAnsi="Times New Roman" w:eastAsia="黑体" w:cs="Times New Roman"/>
          <w:szCs w:val="21"/>
          <w:highlight w:val="none"/>
        </w:rPr>
        <w:t>（如有）、授权代理证明材料（如有）</w:t>
      </w:r>
      <w:r>
        <w:rPr>
          <w:rFonts w:ascii="Times New Roman" w:hAnsi="Times New Roman" w:eastAsia="黑体" w:cs="Times New Roman"/>
          <w:szCs w:val="21"/>
          <w:highlight w:val="none"/>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p>
    <w:p>
      <w:pPr>
        <w:widowControl/>
        <w:rPr>
          <w:rFonts w:ascii="Times New Roman" w:hAnsi="Times New Roman" w:eastAsia="黑体" w:cs="Times New Roman"/>
          <w:szCs w:val="21"/>
          <w:highlight w:val="none"/>
        </w:rPr>
      </w:pPr>
      <w:r>
        <w:rPr>
          <w:rFonts w:ascii="Times New Roman" w:hAnsi="Times New Roman" w:eastAsia="黑体" w:cs="Times New Roman"/>
          <w:szCs w:val="21"/>
          <w:highlight w:val="none"/>
        </w:rPr>
        <w:br w:type="page"/>
      </w:r>
    </w:p>
    <w:p>
      <w:pPr>
        <w:tabs>
          <w:tab w:val="left" w:pos="3060"/>
        </w:tabs>
        <w:topLinePunct/>
        <w:spacing w:line="440" w:lineRule="exact"/>
        <w:jc w:val="center"/>
        <w:rPr>
          <w:rFonts w:ascii="Times New Roman" w:hAnsi="Times New Roman" w:eastAsia="黑体" w:cs="Times New Roman"/>
          <w:sz w:val="28"/>
          <w:szCs w:val="28"/>
          <w:highlight w:val="none"/>
        </w:rPr>
      </w:pPr>
      <w:bookmarkStart w:id="181" w:name="_Toc3893_WPSOffice_Level1"/>
      <w:bookmarkStart w:id="182" w:name="_Toc30712_WPSOffice_Level1"/>
      <w:bookmarkStart w:id="183" w:name="_Toc12019_WPSOffice_Level1"/>
      <w:bookmarkStart w:id="184" w:name="_Toc9267_WPSOffice_Level1"/>
      <w:bookmarkStart w:id="185" w:name="_Toc5403_WPSOffice_Level1"/>
      <w:r>
        <w:rPr>
          <w:rFonts w:hint="eastAsia" w:ascii="Times New Roman" w:hAnsi="Times New Roman" w:eastAsia="黑体" w:cs="Times New Roman"/>
          <w:sz w:val="28"/>
          <w:szCs w:val="28"/>
          <w:highlight w:val="none"/>
          <w:lang w:val="en-US" w:eastAsia="zh-CN"/>
        </w:rPr>
        <w:t>五</w:t>
      </w:r>
      <w:r>
        <w:rPr>
          <w:rFonts w:ascii="Times New Roman" w:hAnsi="Times New Roman" w:eastAsia="黑体" w:cs="Times New Roman"/>
          <w:sz w:val="28"/>
          <w:szCs w:val="28"/>
          <w:highlight w:val="none"/>
        </w:rPr>
        <w:t>、</w:t>
      </w:r>
      <w:r>
        <w:rPr>
          <w:rFonts w:hint="eastAsia" w:ascii="Times New Roman" w:hAnsi="Times New Roman" w:eastAsia="黑体" w:cs="Times New Roman"/>
          <w:sz w:val="28"/>
          <w:szCs w:val="28"/>
          <w:highlight w:val="none"/>
        </w:rPr>
        <w:t>信誉情况</w:t>
      </w:r>
      <w:bookmarkEnd w:id="181"/>
      <w:bookmarkEnd w:id="182"/>
      <w:bookmarkEnd w:id="183"/>
      <w:bookmarkEnd w:id="184"/>
      <w:bookmarkEnd w:id="185"/>
    </w:p>
    <w:p>
      <w:pPr>
        <w:topLinePunct/>
        <w:spacing w:line="440" w:lineRule="exact"/>
        <w:rPr>
          <w:rFonts w:ascii="Times New Roman" w:hAnsi="Times New Roman" w:cs="Times New Roman"/>
          <w:bCs/>
          <w:sz w:val="23"/>
          <w:szCs w:val="23"/>
          <w:highlight w:val="none"/>
        </w:rPr>
      </w:pPr>
    </w:p>
    <w:tbl>
      <w:tblPr>
        <w:tblStyle w:val="1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highlight w:val="none"/>
              </w:rPr>
            </w:pPr>
            <w:r>
              <w:rPr>
                <w:rFonts w:ascii="Times New Roman" w:hAnsi="Times New Roman" w:cs="Times New Roman"/>
                <w:bCs/>
                <w:szCs w:val="21"/>
                <w:highlight w:val="none"/>
              </w:rPr>
              <w:t>项目</w:t>
            </w:r>
          </w:p>
        </w:tc>
        <w:tc>
          <w:tcPr>
            <w:tcW w:w="4445" w:type="dxa"/>
          </w:tcPr>
          <w:p>
            <w:pPr>
              <w:topLinePunct/>
              <w:spacing w:line="440" w:lineRule="exact"/>
              <w:jc w:val="center"/>
              <w:rPr>
                <w:rFonts w:ascii="Times New Roman" w:hAnsi="Times New Roman" w:cs="Times New Roman"/>
                <w:bCs/>
                <w:szCs w:val="21"/>
                <w:highlight w:val="none"/>
              </w:rPr>
            </w:pPr>
            <w:r>
              <w:rPr>
                <w:rFonts w:ascii="Times New Roman" w:hAnsi="Times New Roman" w:cs="Times New Roman"/>
                <w:bCs/>
                <w:szCs w:val="21"/>
                <w:highlight w:val="none"/>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是否被责令停业，暂扣或吊销执照，或吊销资质证书</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是否在近三年内（自</w:t>
            </w:r>
            <w:r>
              <w:rPr>
                <w:rFonts w:hint="eastAsia" w:ascii="Times New Roman" w:hAnsi="Times New Roman" w:cs="Times New Roman"/>
                <w:sz w:val="24"/>
                <w:szCs w:val="28"/>
                <w:highlight w:val="none"/>
              </w:rPr>
              <w:t>响应文件递交截止之日</w:t>
            </w:r>
            <w:r>
              <w:rPr>
                <w:rFonts w:ascii="Times New Roman" w:hAnsi="Times New Roman" w:cs="Times New Roman"/>
                <w:sz w:val="24"/>
                <w:szCs w:val="28"/>
                <w:highlight w:val="none"/>
              </w:rPr>
              <w:t>向前追溯3年）供应商或其法定代表人有行贿犯罪行为</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highlight w:val="none"/>
              </w:rPr>
            </w:pPr>
            <w:r>
              <w:rPr>
                <w:rFonts w:hint="eastAsia" w:ascii="Times New Roman" w:hAnsi="Times New Roman" w:cs="Times New Roman"/>
                <w:sz w:val="24"/>
                <w:szCs w:val="28"/>
                <w:highlight w:val="none"/>
              </w:rPr>
              <w:t>……</w:t>
            </w:r>
          </w:p>
        </w:tc>
        <w:tc>
          <w:tcPr>
            <w:tcW w:w="4445" w:type="dxa"/>
          </w:tcPr>
          <w:p>
            <w:pPr>
              <w:topLinePunct/>
              <w:spacing w:line="440" w:lineRule="exact"/>
              <w:rPr>
                <w:rFonts w:ascii="Times New Roman" w:hAnsi="Times New Roman" w:cs="Times New Roman"/>
                <w:bCs/>
                <w:szCs w:val="21"/>
                <w:highlight w:val="none"/>
              </w:rPr>
            </w:pPr>
          </w:p>
        </w:tc>
      </w:tr>
    </w:tbl>
    <w:p>
      <w:pPr>
        <w:spacing w:line="440" w:lineRule="exact"/>
        <w:jc w:val="left"/>
        <w:rPr>
          <w:rFonts w:ascii="Times New Roman" w:hAnsi="Times New Roman" w:cs="Times New Roman"/>
          <w:sz w:val="24"/>
          <w:highlight w:val="none"/>
        </w:rPr>
      </w:pPr>
      <w:r>
        <w:rPr>
          <w:rFonts w:ascii="Times New Roman" w:hAnsi="Times New Roman" w:cs="Times New Roman"/>
          <w:sz w:val="24"/>
          <w:highlight w:val="none"/>
        </w:rPr>
        <w:t>注：本表无需附证明材料。</w:t>
      </w:r>
    </w:p>
    <w:p>
      <w:pPr>
        <w:pStyle w:val="6"/>
        <w:jc w:val="right"/>
        <w:rPr>
          <w:rFonts w:ascii="Times New Roman" w:hAnsi="Times New Roman" w:cs="Times New Roman"/>
          <w:sz w:val="24"/>
          <w:highlight w:val="none"/>
        </w:rPr>
      </w:pPr>
    </w:p>
    <w:p>
      <w:pPr>
        <w:spacing w:line="440" w:lineRule="exact"/>
        <w:jc w:val="right"/>
        <w:rPr>
          <w:rFonts w:ascii="Times New Roman" w:hAnsi="Times New Roman" w:cs="Times New Roman"/>
          <w:sz w:val="24"/>
          <w:highlight w:val="none"/>
        </w:rPr>
      </w:pPr>
      <w:r>
        <w:rPr>
          <w:rFonts w:hint="eastAsia" w:ascii="Times New Roman" w:hAnsi="Times New Roman" w:cs="Times New Roman"/>
          <w:sz w:val="24"/>
          <w:highlight w:val="none"/>
          <w:lang w:val="en-US" w:eastAsia="zh-CN"/>
        </w:rPr>
        <w:t>响应人</w:t>
      </w:r>
      <w:r>
        <w:rPr>
          <w:rFonts w:ascii="Times New Roman" w:hAnsi="Times New Roman" w:cs="Times New Roman"/>
          <w:sz w:val="24"/>
          <w:highlight w:val="none"/>
        </w:rPr>
        <w:t>：(盖单位章)</w:t>
      </w:r>
    </w:p>
    <w:p>
      <w:pPr>
        <w:pStyle w:val="6"/>
        <w:jc w:val="right"/>
        <w:rPr>
          <w:highlight w:val="none"/>
          <w:u w:val="single"/>
        </w:rPr>
      </w:pPr>
      <w:r>
        <w:rPr>
          <w:rFonts w:ascii="Times New Roman" w:hAnsi="Times New Roman" w:cs="Times New Roman"/>
          <w:sz w:val="24"/>
          <w:highlight w:val="none"/>
        </w:rPr>
        <w:t>年月日</w:t>
      </w:r>
    </w:p>
    <w:p>
      <w:pPr>
        <w:pStyle w:val="6"/>
        <w:rPr>
          <w:highlight w:val="none"/>
        </w:rPr>
      </w:pPr>
    </w:p>
    <w:p>
      <w:pPr>
        <w:pStyle w:val="6"/>
        <w:spacing w:line="440" w:lineRule="exact"/>
        <w:rPr>
          <w:rFonts w:ascii="Times New Roman" w:hAnsi="Times New Roman" w:cs="Times New Roman"/>
          <w:sz w:val="24"/>
          <w:highlight w:val="none"/>
        </w:rPr>
      </w:pPr>
    </w:p>
    <w:p>
      <w:pPr>
        <w:spacing w:line="400" w:lineRule="atLeast"/>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rPr>
          <w:highlight w:val="none"/>
        </w:rPr>
      </w:pPr>
    </w:p>
    <w:p>
      <w:pPr>
        <w:pStyle w:val="6"/>
        <w:numPr>
          <w:ilvl w:val="0"/>
          <w:numId w:val="0"/>
        </w:numPr>
        <w:jc w:val="center"/>
        <w:rPr>
          <w:rFonts w:ascii="黑体" w:hAnsi="黑体" w:eastAsia="黑体" w:cs="黑体"/>
          <w:sz w:val="28"/>
          <w:szCs w:val="28"/>
          <w:highlight w:val="none"/>
        </w:rPr>
      </w:pPr>
      <w:r>
        <w:rPr>
          <w:rFonts w:hint="eastAsia" w:ascii="黑体" w:hAnsi="黑体" w:eastAsia="黑体" w:cs="黑体"/>
          <w:kern w:val="2"/>
          <w:sz w:val="28"/>
          <w:szCs w:val="28"/>
          <w:lang w:val="en-US" w:eastAsia="zh-CN" w:bidi="ar-SA"/>
        </w:rPr>
        <w:t>六、</w:t>
      </w:r>
      <w:r>
        <w:rPr>
          <w:rFonts w:hint="eastAsia" w:ascii="黑体" w:hAnsi="黑体" w:eastAsia="黑体" w:cs="黑体"/>
          <w:sz w:val="28"/>
          <w:szCs w:val="28"/>
          <w:highlight w:val="none"/>
        </w:rPr>
        <w:t>技术性能（质量）指标描述</w:t>
      </w:r>
    </w:p>
    <w:tbl>
      <w:tblPr>
        <w:tblStyle w:val="14"/>
        <w:tblW w:w="4997" w:type="pct"/>
        <w:tblInd w:w="0" w:type="dxa"/>
        <w:tblLayout w:type="autofit"/>
        <w:tblCellMar>
          <w:top w:w="0" w:type="dxa"/>
          <w:left w:w="30" w:type="dxa"/>
          <w:bottom w:w="0" w:type="dxa"/>
          <w:right w:w="30" w:type="dxa"/>
        </w:tblCellMar>
      </w:tblPr>
      <w:tblGrid>
        <w:gridCol w:w="761"/>
        <w:gridCol w:w="3842"/>
        <w:gridCol w:w="2198"/>
        <w:gridCol w:w="1560"/>
      </w:tblGrid>
      <w:tr>
        <w:tblPrEx>
          <w:tblCellMar>
            <w:top w:w="0" w:type="dxa"/>
            <w:left w:w="30" w:type="dxa"/>
            <w:bottom w:w="0" w:type="dxa"/>
            <w:right w:w="30" w:type="dxa"/>
          </w:tblCellMar>
        </w:tblPrEx>
        <w:trPr>
          <w:cantSplit/>
          <w:trHeight w:val="901" w:hRule="atLeast"/>
        </w:trPr>
        <w:tc>
          <w:tcPr>
            <w:tcW w:w="455" w:type="pct"/>
            <w:tcBorders>
              <w:top w:val="single" w:color="auto" w:sz="12" w:space="0"/>
              <w:left w:val="single" w:color="auto" w:sz="12" w:space="0"/>
              <w:right w:val="single" w:color="auto" w:sz="6" w:space="0"/>
            </w:tcBorders>
            <w:noWrap w:val="0"/>
            <w:vAlign w:val="center"/>
          </w:tcPr>
          <w:p>
            <w:pPr>
              <w:topLinePunct/>
              <w:jc w:val="center"/>
              <w:rPr>
                <w:rFonts w:hint="eastAsia" w:ascii="Times New Roman" w:hAnsi="Times New Roman" w:eastAsia="宋体" w:cs="Times New Roman"/>
                <w:b/>
                <w:bCs/>
                <w:szCs w:val="21"/>
                <w:highlight w:val="none"/>
              </w:rPr>
            </w:pPr>
            <w:r>
              <w:rPr>
                <w:rFonts w:hint="eastAsia" w:ascii="Times New Roman" w:hAnsi="Times New Roman" w:eastAsia="宋体" w:cs="Times New Roman"/>
                <w:b/>
                <w:bCs/>
                <w:szCs w:val="21"/>
                <w:highlight w:val="none"/>
              </w:rPr>
              <w:t>序号</w:t>
            </w:r>
          </w:p>
        </w:tc>
        <w:tc>
          <w:tcPr>
            <w:tcW w:w="2297" w:type="pct"/>
            <w:tcBorders>
              <w:top w:val="single" w:color="auto" w:sz="12" w:space="0"/>
              <w:left w:val="single" w:color="auto" w:sz="6" w:space="0"/>
            </w:tcBorders>
            <w:noWrap w:val="0"/>
            <w:vAlign w:val="center"/>
          </w:tcPr>
          <w:p>
            <w:pPr>
              <w:topLinePunct/>
              <w:jc w:val="center"/>
              <w:rPr>
                <w:rFonts w:hint="eastAsia" w:ascii="Times New Roman" w:hAnsi="Times New Roman" w:eastAsia="宋体" w:cs="Times New Roman"/>
                <w:b/>
                <w:bCs/>
                <w:szCs w:val="21"/>
                <w:highlight w:val="none"/>
                <w:lang w:val="en-US" w:eastAsia="zh-CN"/>
              </w:rPr>
            </w:pPr>
            <w:r>
              <w:rPr>
                <w:rFonts w:hint="eastAsia" w:ascii="Times New Roman" w:hAnsi="Times New Roman" w:eastAsia="宋体" w:cs="Times New Roman"/>
                <w:b/>
                <w:bCs/>
                <w:szCs w:val="21"/>
                <w:highlight w:val="none"/>
                <w:lang w:val="en-US" w:eastAsia="zh-CN"/>
              </w:rPr>
              <w:t>技术参数</w:t>
            </w:r>
          </w:p>
        </w:tc>
        <w:tc>
          <w:tcPr>
            <w:tcW w:w="1314" w:type="pct"/>
            <w:tcBorders>
              <w:top w:val="single" w:color="auto" w:sz="12" w:space="0"/>
              <w:left w:val="single" w:color="auto" w:sz="6" w:space="0"/>
              <w:bottom w:val="single" w:color="auto" w:sz="6" w:space="0"/>
              <w:right w:val="single" w:color="auto" w:sz="4" w:space="0"/>
            </w:tcBorders>
            <w:noWrap w:val="0"/>
            <w:vAlign w:val="center"/>
          </w:tcPr>
          <w:p>
            <w:pPr>
              <w:topLinePunct/>
              <w:jc w:val="center"/>
              <w:rPr>
                <w:rFonts w:hint="default" w:ascii="Times New Roman" w:hAnsi="Times New Roman" w:eastAsia="宋体" w:cs="Times New Roman"/>
                <w:b/>
                <w:bCs/>
                <w:szCs w:val="21"/>
                <w:highlight w:val="none"/>
                <w:lang w:val="en-US" w:eastAsia="zh-CN"/>
              </w:rPr>
            </w:pPr>
            <w:r>
              <w:rPr>
                <w:rFonts w:hint="eastAsia" w:ascii="Times New Roman" w:hAnsi="Times New Roman" w:eastAsia="宋体" w:cs="Times New Roman"/>
                <w:b/>
                <w:bCs/>
                <w:szCs w:val="21"/>
                <w:highlight w:val="none"/>
                <w:lang w:val="en-US" w:eastAsia="zh-CN"/>
              </w:rPr>
              <w:t>是否响应</w:t>
            </w:r>
          </w:p>
        </w:tc>
        <w:tc>
          <w:tcPr>
            <w:tcW w:w="932" w:type="pct"/>
            <w:tcBorders>
              <w:top w:val="single" w:color="auto" w:sz="12" w:space="0"/>
              <w:left w:val="single" w:color="auto" w:sz="4" w:space="0"/>
              <w:right w:val="single" w:color="auto" w:sz="12" w:space="0"/>
            </w:tcBorders>
            <w:noWrap w:val="0"/>
            <w:vAlign w:val="center"/>
          </w:tcPr>
          <w:p>
            <w:pPr>
              <w:topLinePunct/>
              <w:jc w:val="center"/>
              <w:rPr>
                <w:rFonts w:hint="eastAsia" w:ascii="Times New Roman" w:hAnsi="Times New Roman" w:eastAsia="宋体" w:cs="Times New Roman"/>
                <w:b/>
                <w:bCs/>
                <w:szCs w:val="21"/>
                <w:highlight w:val="none"/>
                <w:lang w:eastAsia="zh-CN"/>
              </w:rPr>
            </w:pPr>
            <w:r>
              <w:rPr>
                <w:rFonts w:hint="eastAsia" w:ascii="Times New Roman" w:hAnsi="Times New Roman" w:eastAsia="宋体" w:cs="Times New Roman"/>
                <w:b/>
                <w:bCs/>
                <w:szCs w:val="21"/>
                <w:highlight w:val="none"/>
                <w:lang w:val="en-US" w:eastAsia="zh-CN"/>
              </w:rPr>
              <w:t>备注</w:t>
            </w:r>
          </w:p>
        </w:tc>
      </w:tr>
      <w:tr>
        <w:tblPrEx>
          <w:tblCellMar>
            <w:top w:w="0" w:type="dxa"/>
            <w:left w:w="30" w:type="dxa"/>
            <w:bottom w:w="0" w:type="dxa"/>
            <w:right w:w="30" w:type="dxa"/>
          </w:tblCellMar>
        </w:tblPrEx>
        <w:trPr>
          <w:cantSplit/>
          <w:trHeight w:val="925" w:hRule="exact"/>
        </w:trPr>
        <w:tc>
          <w:tcPr>
            <w:tcW w:w="455" w:type="pct"/>
            <w:tcBorders>
              <w:top w:val="single" w:color="auto" w:sz="6" w:space="0"/>
              <w:left w:val="single" w:color="auto" w:sz="12" w:space="0"/>
              <w:bottom w:val="single" w:color="auto" w:sz="6" w:space="0"/>
              <w:right w:val="single" w:color="auto" w:sz="6" w:space="0"/>
            </w:tcBorders>
            <w:noWrap w:val="0"/>
            <w:vAlign w:val="center"/>
          </w:tcPr>
          <w:p>
            <w:pPr>
              <w:topLinePunct/>
              <w:jc w:val="center"/>
              <w:rPr>
                <w:rFonts w:hint="eastAsia"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1</w:t>
            </w:r>
          </w:p>
        </w:tc>
        <w:tc>
          <w:tcPr>
            <w:tcW w:w="2297" w:type="pct"/>
            <w:tcBorders>
              <w:top w:val="single" w:color="auto" w:sz="6" w:space="0"/>
              <w:left w:val="single" w:color="auto" w:sz="6" w:space="0"/>
              <w:bottom w:val="single" w:color="auto" w:sz="6" w:space="0"/>
              <w:right w:val="single" w:color="auto" w:sz="6" w:space="0"/>
            </w:tcBorders>
            <w:noWrap w:val="0"/>
            <w:vAlign w:val="top"/>
          </w:tcPr>
          <w:p>
            <w:pPr>
              <w:topLinePunct/>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t>8.</w:t>
            </w:r>
            <w:r>
              <w:rPr>
                <w:rFonts w:hint="eastAsia" w:ascii="Times New Roman" w:hAnsi="Times New Roman" w:eastAsia="宋体" w:cs="Times New Roman"/>
                <w:szCs w:val="21"/>
                <w:highlight w:val="none"/>
                <w:lang w:val="en-US" w:eastAsia="zh-CN"/>
              </w:rPr>
              <w:t>1</w:t>
            </w:r>
            <w:r>
              <w:rPr>
                <w:rFonts w:hint="eastAsia" w:ascii="Times New Roman" w:hAnsi="Times New Roman" w:eastAsia="宋体" w:cs="Times New Roman"/>
                <w:szCs w:val="21"/>
                <w:highlight w:val="none"/>
              </w:rPr>
              <w:t>米车型磷酸铁锂动力电池组 (不得采用梯次电芯) 及相关组件：</w:t>
            </w:r>
          </w:p>
          <w:p>
            <w:pPr>
              <w:topLinePunct/>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t>1、电量：≥105kwh；</w:t>
            </w:r>
          </w:p>
          <w:p>
            <w:pPr>
              <w:topLinePunct/>
              <w:rPr>
                <w:rFonts w:hint="eastAsia" w:ascii="Times New Roman" w:hAnsi="Times New Roman" w:eastAsia="宋体" w:cs="Times New Roman"/>
                <w:szCs w:val="21"/>
                <w:highlight w:val="none"/>
              </w:rPr>
            </w:pPr>
          </w:p>
        </w:tc>
        <w:tc>
          <w:tcPr>
            <w:tcW w:w="1314" w:type="pct"/>
            <w:tcBorders>
              <w:top w:val="single" w:color="auto" w:sz="6" w:space="0"/>
              <w:left w:val="single" w:color="auto" w:sz="6" w:space="0"/>
              <w:bottom w:val="single" w:color="auto" w:sz="6" w:space="0"/>
              <w:right w:val="single" w:color="auto" w:sz="4" w:space="0"/>
            </w:tcBorders>
            <w:noWrap w:val="0"/>
            <w:vAlign w:val="top"/>
          </w:tcPr>
          <w:p>
            <w:pPr>
              <w:topLinePunct/>
              <w:rPr>
                <w:rFonts w:hint="eastAsia" w:ascii="Times New Roman" w:hAnsi="Times New Roman" w:eastAsia="宋体" w:cs="Times New Roman"/>
                <w:szCs w:val="21"/>
                <w:highlight w:val="none"/>
              </w:rPr>
            </w:pPr>
          </w:p>
        </w:tc>
        <w:tc>
          <w:tcPr>
            <w:tcW w:w="932" w:type="pct"/>
            <w:tcBorders>
              <w:top w:val="single" w:color="auto" w:sz="6" w:space="0"/>
              <w:left w:val="single" w:color="auto" w:sz="4" w:space="0"/>
              <w:bottom w:val="single" w:color="auto" w:sz="6" w:space="0"/>
              <w:right w:val="single" w:color="auto" w:sz="12" w:space="0"/>
            </w:tcBorders>
            <w:noWrap w:val="0"/>
            <w:vAlign w:val="top"/>
          </w:tcPr>
          <w:p>
            <w:pPr>
              <w:topLinePunct/>
              <w:rPr>
                <w:rFonts w:hint="eastAsia" w:ascii="Times New Roman" w:hAnsi="Times New Roman" w:eastAsia="宋体" w:cs="Times New Roman"/>
                <w:szCs w:val="21"/>
                <w:highlight w:val="none"/>
              </w:rPr>
            </w:pPr>
          </w:p>
        </w:tc>
      </w:tr>
      <w:tr>
        <w:tblPrEx>
          <w:tblCellMar>
            <w:top w:w="0" w:type="dxa"/>
            <w:left w:w="30" w:type="dxa"/>
            <w:bottom w:w="0" w:type="dxa"/>
            <w:right w:w="30" w:type="dxa"/>
          </w:tblCellMar>
        </w:tblPrEx>
        <w:trPr>
          <w:cantSplit/>
          <w:trHeight w:val="1199" w:hRule="exact"/>
        </w:trPr>
        <w:tc>
          <w:tcPr>
            <w:tcW w:w="455" w:type="pct"/>
            <w:tcBorders>
              <w:top w:val="single" w:color="auto" w:sz="6" w:space="0"/>
              <w:left w:val="single" w:color="auto" w:sz="12" w:space="0"/>
              <w:bottom w:val="single" w:color="auto" w:sz="6" w:space="0"/>
              <w:right w:val="single" w:color="auto" w:sz="6" w:space="0"/>
            </w:tcBorders>
            <w:noWrap w:val="0"/>
            <w:vAlign w:val="center"/>
          </w:tcPr>
          <w:p>
            <w:pPr>
              <w:topLinePunct/>
              <w:jc w:val="center"/>
              <w:rPr>
                <w:rFonts w:hint="eastAsia"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2</w:t>
            </w:r>
          </w:p>
        </w:tc>
        <w:tc>
          <w:tcPr>
            <w:tcW w:w="2297" w:type="pct"/>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360" w:lineRule="auto"/>
              <w:textAlignment w:val="baseline"/>
              <w:rPr>
                <w:rFonts w:hint="eastAsia" w:ascii="Times New Roman" w:hAnsi="Times New Roman" w:eastAsia="宋体" w:cs="Times New Roman"/>
                <w:szCs w:val="22"/>
                <w:highlight w:val="none"/>
                <w:lang w:eastAsia="zh-CN"/>
              </w:rPr>
            </w:pPr>
            <w:r>
              <w:rPr>
                <w:rFonts w:hint="eastAsia" w:ascii="Times New Roman" w:hAnsi="Times New Roman" w:eastAsia="宋体" w:cs="Times New Roman"/>
                <w:szCs w:val="22"/>
                <w:highlight w:val="none"/>
              </w:rPr>
              <w:t>2、电池箱体：大箱长度102CM，宽62.7CM，高24CM，160V180A</w:t>
            </w:r>
            <w:r>
              <w:rPr>
                <w:rFonts w:hint="eastAsia" w:ascii="Times New Roman" w:hAnsi="Times New Roman" w:eastAsia="宋体" w:cs="Times New Roman"/>
                <w:szCs w:val="22"/>
                <w:highlight w:val="none"/>
                <w:lang w:eastAsia="zh-CN"/>
              </w:rPr>
              <w:t>；</w:t>
            </w:r>
            <w:r>
              <w:rPr>
                <w:rFonts w:hint="eastAsia" w:ascii="Times New Roman" w:hAnsi="Times New Roman" w:eastAsia="宋体" w:cs="Times New Roman"/>
                <w:szCs w:val="22"/>
                <w:highlight w:val="none"/>
              </w:rPr>
              <w:t>小箱长度102CM，宽62.7CM，高24CM，96V180A</w:t>
            </w:r>
          </w:p>
          <w:p>
            <w:pPr>
              <w:topLinePunct/>
              <w:rPr>
                <w:rFonts w:hint="eastAsia" w:ascii="Times New Roman" w:hAnsi="Times New Roman" w:eastAsia="宋体" w:cs="Times New Roman"/>
                <w:szCs w:val="21"/>
                <w:highlight w:val="none"/>
              </w:rPr>
            </w:pPr>
          </w:p>
        </w:tc>
        <w:tc>
          <w:tcPr>
            <w:tcW w:w="1314" w:type="pct"/>
            <w:tcBorders>
              <w:top w:val="single" w:color="auto" w:sz="6" w:space="0"/>
              <w:left w:val="single" w:color="auto" w:sz="6" w:space="0"/>
              <w:bottom w:val="single" w:color="auto" w:sz="6" w:space="0"/>
              <w:right w:val="single" w:color="auto" w:sz="4" w:space="0"/>
            </w:tcBorders>
            <w:noWrap w:val="0"/>
            <w:vAlign w:val="top"/>
          </w:tcPr>
          <w:p>
            <w:pPr>
              <w:topLinePunct/>
              <w:rPr>
                <w:rFonts w:hint="eastAsia" w:ascii="Times New Roman" w:hAnsi="Times New Roman" w:eastAsia="宋体" w:cs="Times New Roman"/>
                <w:szCs w:val="21"/>
                <w:highlight w:val="none"/>
              </w:rPr>
            </w:pPr>
          </w:p>
        </w:tc>
        <w:tc>
          <w:tcPr>
            <w:tcW w:w="932" w:type="pct"/>
            <w:tcBorders>
              <w:top w:val="single" w:color="auto" w:sz="6" w:space="0"/>
              <w:left w:val="single" w:color="auto" w:sz="4" w:space="0"/>
              <w:bottom w:val="single" w:color="auto" w:sz="6" w:space="0"/>
              <w:right w:val="single" w:color="auto" w:sz="12" w:space="0"/>
            </w:tcBorders>
            <w:noWrap w:val="0"/>
            <w:vAlign w:val="top"/>
          </w:tcPr>
          <w:p>
            <w:pPr>
              <w:topLinePunct/>
              <w:rPr>
                <w:rFonts w:hint="eastAsia" w:ascii="Times New Roman" w:hAnsi="Times New Roman" w:eastAsia="宋体" w:cs="Times New Roman"/>
                <w:szCs w:val="21"/>
                <w:highlight w:val="none"/>
              </w:rPr>
            </w:pPr>
          </w:p>
        </w:tc>
      </w:tr>
      <w:tr>
        <w:tblPrEx>
          <w:tblCellMar>
            <w:top w:w="0" w:type="dxa"/>
            <w:left w:w="30" w:type="dxa"/>
            <w:bottom w:w="0" w:type="dxa"/>
            <w:right w:w="30" w:type="dxa"/>
          </w:tblCellMar>
        </w:tblPrEx>
        <w:trPr>
          <w:cantSplit/>
          <w:trHeight w:val="440" w:hRule="exact"/>
        </w:trPr>
        <w:tc>
          <w:tcPr>
            <w:tcW w:w="455" w:type="pct"/>
            <w:tcBorders>
              <w:top w:val="single" w:color="auto" w:sz="6" w:space="0"/>
              <w:left w:val="single" w:color="auto" w:sz="12" w:space="0"/>
              <w:bottom w:val="single" w:color="auto" w:sz="6" w:space="0"/>
              <w:right w:val="single" w:color="auto" w:sz="6" w:space="0"/>
            </w:tcBorders>
            <w:noWrap w:val="0"/>
            <w:vAlign w:val="center"/>
          </w:tcPr>
          <w:p>
            <w:pPr>
              <w:topLinePunct/>
              <w:jc w:val="center"/>
              <w:rPr>
                <w:rFonts w:hint="eastAsia"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3</w:t>
            </w:r>
          </w:p>
        </w:tc>
        <w:tc>
          <w:tcPr>
            <w:tcW w:w="2297" w:type="pct"/>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360" w:lineRule="auto"/>
              <w:textAlignment w:val="baseline"/>
              <w:rPr>
                <w:rFonts w:hint="eastAsia" w:ascii="Times New Roman" w:hAnsi="Times New Roman" w:eastAsia="宋体" w:cs="Times New Roman"/>
                <w:szCs w:val="22"/>
                <w:highlight w:val="none"/>
              </w:rPr>
            </w:pPr>
            <w:r>
              <w:rPr>
                <w:rFonts w:hint="eastAsia" w:ascii="Times New Roman" w:hAnsi="Times New Roman" w:eastAsia="宋体" w:cs="Times New Roman"/>
                <w:szCs w:val="22"/>
                <w:highlight w:val="none"/>
              </w:rPr>
              <w:t>3、系统能量密度≥140wh/kg；</w:t>
            </w:r>
          </w:p>
          <w:p>
            <w:pPr>
              <w:topLinePunct/>
              <w:rPr>
                <w:rFonts w:hint="eastAsia" w:ascii="Times New Roman" w:hAnsi="Times New Roman" w:eastAsia="宋体" w:cs="Times New Roman"/>
                <w:szCs w:val="21"/>
                <w:highlight w:val="none"/>
              </w:rPr>
            </w:pPr>
          </w:p>
        </w:tc>
        <w:tc>
          <w:tcPr>
            <w:tcW w:w="1314" w:type="pct"/>
            <w:tcBorders>
              <w:top w:val="single" w:color="auto" w:sz="6" w:space="0"/>
              <w:left w:val="single" w:color="auto" w:sz="6" w:space="0"/>
              <w:bottom w:val="single" w:color="auto" w:sz="6" w:space="0"/>
              <w:right w:val="single" w:color="auto" w:sz="4" w:space="0"/>
            </w:tcBorders>
            <w:noWrap w:val="0"/>
            <w:vAlign w:val="top"/>
          </w:tcPr>
          <w:p>
            <w:pPr>
              <w:topLinePunct/>
              <w:rPr>
                <w:rFonts w:hint="eastAsia" w:ascii="Times New Roman" w:hAnsi="Times New Roman" w:eastAsia="宋体" w:cs="Times New Roman"/>
                <w:szCs w:val="21"/>
                <w:highlight w:val="none"/>
              </w:rPr>
            </w:pPr>
          </w:p>
        </w:tc>
        <w:tc>
          <w:tcPr>
            <w:tcW w:w="932" w:type="pct"/>
            <w:tcBorders>
              <w:top w:val="single" w:color="auto" w:sz="6" w:space="0"/>
              <w:left w:val="single" w:color="auto" w:sz="4" w:space="0"/>
              <w:bottom w:val="single" w:color="auto" w:sz="6" w:space="0"/>
              <w:right w:val="single" w:color="auto" w:sz="12" w:space="0"/>
            </w:tcBorders>
            <w:noWrap w:val="0"/>
            <w:vAlign w:val="top"/>
          </w:tcPr>
          <w:p>
            <w:pPr>
              <w:topLinePunct/>
              <w:rPr>
                <w:rFonts w:hint="eastAsia" w:ascii="Times New Roman" w:hAnsi="Times New Roman" w:eastAsia="宋体" w:cs="Times New Roman"/>
                <w:szCs w:val="21"/>
                <w:highlight w:val="none"/>
              </w:rPr>
            </w:pPr>
          </w:p>
        </w:tc>
      </w:tr>
      <w:tr>
        <w:tblPrEx>
          <w:tblCellMar>
            <w:top w:w="0" w:type="dxa"/>
            <w:left w:w="30" w:type="dxa"/>
            <w:bottom w:w="0" w:type="dxa"/>
            <w:right w:w="30" w:type="dxa"/>
          </w:tblCellMar>
        </w:tblPrEx>
        <w:trPr>
          <w:cantSplit/>
          <w:trHeight w:val="440" w:hRule="exact"/>
        </w:trPr>
        <w:tc>
          <w:tcPr>
            <w:tcW w:w="455" w:type="pct"/>
            <w:tcBorders>
              <w:top w:val="single" w:color="auto" w:sz="6" w:space="0"/>
              <w:left w:val="single" w:color="auto" w:sz="12" w:space="0"/>
              <w:bottom w:val="single" w:color="auto" w:sz="6" w:space="0"/>
              <w:right w:val="single" w:color="auto" w:sz="6" w:space="0"/>
            </w:tcBorders>
            <w:noWrap w:val="0"/>
            <w:vAlign w:val="center"/>
          </w:tcPr>
          <w:p>
            <w:pPr>
              <w:topLinePunct/>
              <w:jc w:val="center"/>
              <w:rPr>
                <w:rFonts w:hint="eastAsia"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4</w:t>
            </w:r>
          </w:p>
        </w:tc>
        <w:tc>
          <w:tcPr>
            <w:tcW w:w="2297" w:type="pct"/>
            <w:tcBorders>
              <w:top w:val="single" w:color="auto" w:sz="6" w:space="0"/>
              <w:left w:val="single" w:color="auto" w:sz="6" w:space="0"/>
              <w:bottom w:val="single" w:color="auto" w:sz="6" w:space="0"/>
              <w:right w:val="single" w:color="auto" w:sz="6" w:space="0"/>
            </w:tcBorders>
            <w:noWrap w:val="0"/>
            <w:vAlign w:val="top"/>
          </w:tcPr>
          <w:p>
            <w:pPr>
              <w:topLinePunct/>
              <w:rPr>
                <w:rFonts w:hint="eastAsia" w:ascii="Times New Roman" w:hAnsi="Times New Roman" w:eastAsia="宋体" w:cs="Times New Roman"/>
                <w:szCs w:val="21"/>
                <w:highlight w:val="none"/>
              </w:rPr>
            </w:pPr>
            <w:r>
              <w:rPr>
                <w:rFonts w:hint="eastAsia" w:ascii="Times New Roman" w:hAnsi="Times New Roman" w:eastAsia="宋体" w:cs="Times New Roman"/>
                <w:szCs w:val="21"/>
                <w:highlight w:val="none"/>
              </w:rPr>
              <w:t>4、防护等级：电池箱 IP68；</w:t>
            </w:r>
          </w:p>
        </w:tc>
        <w:tc>
          <w:tcPr>
            <w:tcW w:w="1314" w:type="pct"/>
            <w:tcBorders>
              <w:top w:val="single" w:color="auto" w:sz="6" w:space="0"/>
              <w:left w:val="single" w:color="auto" w:sz="6" w:space="0"/>
              <w:bottom w:val="single" w:color="auto" w:sz="6" w:space="0"/>
              <w:right w:val="single" w:color="auto" w:sz="4" w:space="0"/>
            </w:tcBorders>
            <w:noWrap w:val="0"/>
            <w:vAlign w:val="top"/>
          </w:tcPr>
          <w:p>
            <w:pPr>
              <w:topLinePunct/>
              <w:rPr>
                <w:rFonts w:hint="eastAsia" w:ascii="Times New Roman" w:hAnsi="Times New Roman" w:eastAsia="宋体" w:cs="Times New Roman"/>
                <w:szCs w:val="21"/>
                <w:highlight w:val="none"/>
              </w:rPr>
            </w:pPr>
          </w:p>
        </w:tc>
        <w:tc>
          <w:tcPr>
            <w:tcW w:w="932" w:type="pct"/>
            <w:tcBorders>
              <w:top w:val="single" w:color="auto" w:sz="6" w:space="0"/>
              <w:left w:val="single" w:color="auto" w:sz="4" w:space="0"/>
              <w:bottom w:val="single" w:color="auto" w:sz="6" w:space="0"/>
              <w:right w:val="single" w:color="auto" w:sz="12" w:space="0"/>
            </w:tcBorders>
            <w:noWrap w:val="0"/>
            <w:vAlign w:val="top"/>
          </w:tcPr>
          <w:p>
            <w:pPr>
              <w:topLinePunct/>
              <w:rPr>
                <w:rFonts w:hint="eastAsia" w:ascii="Times New Roman" w:hAnsi="Times New Roman" w:eastAsia="宋体" w:cs="Times New Roman"/>
                <w:szCs w:val="21"/>
                <w:highlight w:val="none"/>
              </w:rPr>
            </w:pPr>
          </w:p>
        </w:tc>
      </w:tr>
      <w:tr>
        <w:tblPrEx>
          <w:tblCellMar>
            <w:top w:w="0" w:type="dxa"/>
            <w:left w:w="30" w:type="dxa"/>
            <w:bottom w:w="0" w:type="dxa"/>
            <w:right w:w="30" w:type="dxa"/>
          </w:tblCellMar>
        </w:tblPrEx>
        <w:trPr>
          <w:cantSplit/>
          <w:trHeight w:val="2438" w:hRule="exact"/>
        </w:trPr>
        <w:tc>
          <w:tcPr>
            <w:tcW w:w="455" w:type="pct"/>
            <w:tcBorders>
              <w:top w:val="single" w:color="auto" w:sz="6" w:space="0"/>
              <w:left w:val="single" w:color="auto" w:sz="12" w:space="0"/>
              <w:bottom w:val="single" w:color="auto" w:sz="6" w:space="0"/>
              <w:right w:val="single" w:color="auto" w:sz="6" w:space="0"/>
            </w:tcBorders>
            <w:noWrap w:val="0"/>
            <w:vAlign w:val="center"/>
          </w:tcPr>
          <w:p>
            <w:pPr>
              <w:topLinePunct/>
              <w:jc w:val="center"/>
              <w:rPr>
                <w:rFonts w:hint="eastAsia"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5</w:t>
            </w:r>
          </w:p>
        </w:tc>
        <w:tc>
          <w:tcPr>
            <w:tcW w:w="2297" w:type="pct"/>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360" w:lineRule="auto"/>
              <w:textAlignment w:val="baseline"/>
              <w:rPr>
                <w:rFonts w:hint="eastAsia" w:ascii="Times New Roman" w:hAnsi="Times New Roman" w:eastAsia="宋体" w:cs="Times New Roman"/>
                <w:szCs w:val="22"/>
                <w:highlight w:val="none"/>
                <w:lang w:eastAsia="zh-CN"/>
              </w:rPr>
            </w:pPr>
            <w:r>
              <w:rPr>
                <w:rFonts w:hint="eastAsia" w:ascii="Times New Roman" w:hAnsi="Times New Roman" w:eastAsia="宋体" w:cs="Times New Roman"/>
                <w:szCs w:val="22"/>
                <w:highlight w:val="none"/>
                <w:lang w:val="en-US" w:eastAsia="zh-CN"/>
              </w:rPr>
              <w:t>5</w:t>
            </w:r>
            <w:r>
              <w:rPr>
                <w:rFonts w:hint="eastAsia" w:ascii="Times New Roman" w:hAnsi="Times New Roman" w:eastAsia="宋体" w:cs="Times New Roman"/>
                <w:szCs w:val="22"/>
                <w:highlight w:val="none"/>
              </w:rPr>
              <w:t>、★电池电芯与电池系统为同一品牌或同一企业生产(</w:t>
            </w:r>
            <w:r>
              <w:rPr>
                <w:rFonts w:hint="eastAsia" w:ascii="Times New Roman" w:hAnsi="Times New Roman" w:eastAsia="宋体" w:cs="Times New Roman"/>
                <w:szCs w:val="22"/>
                <w:highlight w:val="none"/>
                <w:lang w:val="en-US" w:eastAsia="zh-CN"/>
              </w:rPr>
              <w:t>响应</w:t>
            </w:r>
            <w:r>
              <w:rPr>
                <w:rFonts w:hint="eastAsia" w:ascii="Times New Roman" w:hAnsi="Times New Roman" w:eastAsia="宋体" w:cs="Times New Roman"/>
                <w:szCs w:val="22"/>
                <w:highlight w:val="none"/>
              </w:rPr>
              <w:t xml:space="preserve">时，须在“响应情况表”中对电芯和电池系统的品牌和生产厂家进行说明，并提供生产厂家出具的电芯与电池系统为同一品牌或同一企业生产承诺书，格式自拟) </w:t>
            </w:r>
            <w:r>
              <w:rPr>
                <w:rFonts w:hint="eastAsia" w:ascii="Times New Roman" w:hAnsi="Times New Roman" w:eastAsia="宋体" w:cs="Times New Roman"/>
                <w:szCs w:val="22"/>
                <w:highlight w:val="none"/>
                <w:lang w:eastAsia="zh-CN"/>
              </w:rPr>
              <w:t>；</w:t>
            </w:r>
          </w:p>
          <w:p>
            <w:pPr>
              <w:topLinePunct/>
              <w:rPr>
                <w:rFonts w:hint="eastAsia" w:ascii="Times New Roman" w:hAnsi="Times New Roman" w:eastAsia="宋体" w:cs="Times New Roman"/>
                <w:szCs w:val="21"/>
                <w:highlight w:val="none"/>
              </w:rPr>
            </w:pPr>
          </w:p>
        </w:tc>
        <w:tc>
          <w:tcPr>
            <w:tcW w:w="1314" w:type="pct"/>
            <w:tcBorders>
              <w:top w:val="single" w:color="auto" w:sz="6" w:space="0"/>
              <w:left w:val="single" w:color="auto" w:sz="6" w:space="0"/>
              <w:bottom w:val="single" w:color="auto" w:sz="6" w:space="0"/>
              <w:right w:val="single" w:color="auto" w:sz="4" w:space="0"/>
            </w:tcBorders>
            <w:noWrap w:val="0"/>
            <w:vAlign w:val="top"/>
          </w:tcPr>
          <w:p>
            <w:pPr>
              <w:topLinePunct/>
              <w:rPr>
                <w:rFonts w:hint="eastAsia" w:ascii="Times New Roman" w:hAnsi="Times New Roman" w:eastAsia="宋体" w:cs="Times New Roman"/>
                <w:szCs w:val="21"/>
                <w:highlight w:val="none"/>
              </w:rPr>
            </w:pPr>
          </w:p>
        </w:tc>
        <w:tc>
          <w:tcPr>
            <w:tcW w:w="932" w:type="pct"/>
            <w:tcBorders>
              <w:top w:val="single" w:color="auto" w:sz="6" w:space="0"/>
              <w:left w:val="single" w:color="auto" w:sz="4" w:space="0"/>
              <w:bottom w:val="single" w:color="auto" w:sz="6" w:space="0"/>
              <w:right w:val="single" w:color="auto" w:sz="12" w:space="0"/>
            </w:tcBorders>
            <w:noWrap w:val="0"/>
            <w:vAlign w:val="top"/>
          </w:tcPr>
          <w:p>
            <w:pPr>
              <w:topLinePunct/>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b/>
                <w:bCs/>
                <w:szCs w:val="21"/>
                <w:highlight w:val="none"/>
                <w:lang w:val="en-US" w:eastAsia="zh-CN"/>
              </w:rPr>
              <w:t>该项须提供生产厂家出具的电芯与电池系统为同一品牌或同一企业生产承诺书【承诺格式自拟，加盖生产厂家公章】。若未提供承诺，则该项不得分。</w:t>
            </w:r>
          </w:p>
        </w:tc>
      </w:tr>
      <w:tr>
        <w:tblPrEx>
          <w:tblCellMar>
            <w:top w:w="0" w:type="dxa"/>
            <w:left w:w="30" w:type="dxa"/>
            <w:bottom w:w="0" w:type="dxa"/>
            <w:right w:w="30" w:type="dxa"/>
          </w:tblCellMar>
        </w:tblPrEx>
        <w:trPr>
          <w:cantSplit/>
          <w:trHeight w:val="440" w:hRule="exact"/>
        </w:trPr>
        <w:tc>
          <w:tcPr>
            <w:tcW w:w="455" w:type="pct"/>
            <w:tcBorders>
              <w:top w:val="single" w:color="auto" w:sz="6" w:space="0"/>
              <w:left w:val="single" w:color="auto" w:sz="12" w:space="0"/>
              <w:bottom w:val="single" w:color="auto" w:sz="6" w:space="0"/>
              <w:right w:val="single" w:color="auto" w:sz="6" w:space="0"/>
            </w:tcBorders>
            <w:noWrap w:val="0"/>
            <w:vAlign w:val="center"/>
          </w:tcPr>
          <w:p>
            <w:pPr>
              <w:topLinePunct/>
              <w:jc w:val="center"/>
              <w:rPr>
                <w:rFonts w:hint="eastAsia"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6</w:t>
            </w:r>
          </w:p>
        </w:tc>
        <w:tc>
          <w:tcPr>
            <w:tcW w:w="2297" w:type="pct"/>
            <w:tcBorders>
              <w:top w:val="single" w:color="auto" w:sz="6" w:space="0"/>
              <w:left w:val="single" w:color="auto" w:sz="6" w:space="0"/>
              <w:bottom w:val="single" w:color="auto" w:sz="6" w:space="0"/>
              <w:right w:val="single" w:color="auto" w:sz="6" w:space="0"/>
            </w:tcBorders>
            <w:noWrap w:val="0"/>
            <w:vAlign w:val="top"/>
          </w:tcPr>
          <w:p>
            <w:pPr>
              <w:topLinePunct/>
              <w:rPr>
                <w:rFonts w:hint="eastAsia" w:ascii="Times New Roman" w:hAnsi="Times New Roman" w:eastAsia="宋体" w:cs="Times New Roman"/>
                <w:szCs w:val="21"/>
                <w:highlight w:val="none"/>
              </w:rPr>
            </w:pPr>
            <w:r>
              <w:rPr>
                <w:rFonts w:hint="eastAsia" w:ascii="Times New Roman" w:hAnsi="Times New Roman" w:eastAsia="宋体" w:cs="Times New Roman"/>
                <w:szCs w:val="22"/>
                <w:highlight w:val="none"/>
                <w:lang w:eastAsia="zh-CN"/>
              </w:rPr>
              <w:t>6、</w:t>
            </w:r>
            <w:r>
              <w:rPr>
                <w:rFonts w:hint="eastAsia" w:ascii="Times New Roman" w:hAnsi="Times New Roman" w:eastAsia="宋体" w:cs="Times New Roman"/>
                <w:szCs w:val="22"/>
                <w:highlight w:val="none"/>
              </w:rPr>
              <w:t>山区道路运行时，系统电压≥</w:t>
            </w:r>
            <w:r>
              <w:rPr>
                <w:rFonts w:hint="eastAsia" w:ascii="Times New Roman" w:hAnsi="Times New Roman" w:eastAsia="宋体" w:cs="Times New Roman"/>
                <w:szCs w:val="22"/>
                <w:highlight w:val="none"/>
                <w:lang w:val="en-US" w:eastAsia="zh-CN"/>
              </w:rPr>
              <w:t>512</w:t>
            </w:r>
            <w:r>
              <w:rPr>
                <w:rFonts w:hint="eastAsia" w:ascii="Times New Roman" w:hAnsi="Times New Roman" w:eastAsia="宋体" w:cs="Times New Roman"/>
                <w:szCs w:val="22"/>
                <w:highlight w:val="none"/>
              </w:rPr>
              <w:t>V；</w:t>
            </w:r>
          </w:p>
        </w:tc>
        <w:tc>
          <w:tcPr>
            <w:tcW w:w="1314" w:type="pct"/>
            <w:tcBorders>
              <w:top w:val="single" w:color="auto" w:sz="6" w:space="0"/>
              <w:left w:val="single" w:color="auto" w:sz="6" w:space="0"/>
              <w:bottom w:val="single" w:color="auto" w:sz="6" w:space="0"/>
              <w:right w:val="single" w:color="auto" w:sz="4" w:space="0"/>
            </w:tcBorders>
            <w:noWrap w:val="0"/>
            <w:vAlign w:val="top"/>
          </w:tcPr>
          <w:p>
            <w:pPr>
              <w:topLinePunct/>
              <w:rPr>
                <w:rFonts w:hint="eastAsia" w:ascii="Times New Roman" w:hAnsi="Times New Roman" w:eastAsia="宋体" w:cs="Times New Roman"/>
                <w:szCs w:val="21"/>
                <w:highlight w:val="none"/>
              </w:rPr>
            </w:pPr>
          </w:p>
        </w:tc>
        <w:tc>
          <w:tcPr>
            <w:tcW w:w="932" w:type="pct"/>
            <w:tcBorders>
              <w:top w:val="single" w:color="auto" w:sz="6" w:space="0"/>
              <w:left w:val="single" w:color="auto" w:sz="4" w:space="0"/>
              <w:bottom w:val="single" w:color="auto" w:sz="6" w:space="0"/>
              <w:right w:val="single" w:color="auto" w:sz="12" w:space="0"/>
            </w:tcBorders>
            <w:noWrap w:val="0"/>
            <w:vAlign w:val="top"/>
          </w:tcPr>
          <w:p>
            <w:pPr>
              <w:topLinePunct/>
              <w:rPr>
                <w:rFonts w:hint="eastAsia" w:ascii="Times New Roman" w:hAnsi="Times New Roman" w:eastAsia="宋体" w:cs="Times New Roman"/>
                <w:szCs w:val="21"/>
                <w:highlight w:val="none"/>
              </w:rPr>
            </w:pPr>
          </w:p>
        </w:tc>
      </w:tr>
      <w:tr>
        <w:tblPrEx>
          <w:tblCellMar>
            <w:top w:w="0" w:type="dxa"/>
            <w:left w:w="30" w:type="dxa"/>
            <w:bottom w:w="0" w:type="dxa"/>
            <w:right w:w="30" w:type="dxa"/>
          </w:tblCellMar>
        </w:tblPrEx>
        <w:trPr>
          <w:cantSplit/>
          <w:trHeight w:val="1173" w:hRule="exact"/>
        </w:trPr>
        <w:tc>
          <w:tcPr>
            <w:tcW w:w="455" w:type="pct"/>
            <w:tcBorders>
              <w:top w:val="single" w:color="auto" w:sz="6" w:space="0"/>
              <w:left w:val="single" w:color="auto" w:sz="12" w:space="0"/>
              <w:bottom w:val="single" w:color="auto" w:sz="6" w:space="0"/>
              <w:right w:val="single" w:color="auto" w:sz="6" w:space="0"/>
            </w:tcBorders>
            <w:noWrap w:val="0"/>
            <w:vAlign w:val="center"/>
          </w:tcPr>
          <w:p>
            <w:pPr>
              <w:topLinePunct/>
              <w:jc w:val="center"/>
              <w:rPr>
                <w:rFonts w:hint="eastAsia"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7</w:t>
            </w:r>
          </w:p>
        </w:tc>
        <w:tc>
          <w:tcPr>
            <w:tcW w:w="2297" w:type="pct"/>
            <w:tcBorders>
              <w:top w:val="single" w:color="auto" w:sz="6" w:space="0"/>
              <w:left w:val="single" w:color="auto" w:sz="6" w:space="0"/>
              <w:bottom w:val="single" w:color="auto" w:sz="6" w:space="0"/>
              <w:right w:val="single" w:color="auto" w:sz="6" w:space="0"/>
            </w:tcBorders>
            <w:noWrap w:val="0"/>
            <w:vAlign w:val="top"/>
          </w:tcPr>
          <w:p>
            <w:pPr>
              <w:adjustRightInd w:val="0"/>
              <w:snapToGrid w:val="0"/>
              <w:spacing w:line="360" w:lineRule="auto"/>
              <w:textAlignment w:val="baseline"/>
              <w:rPr>
                <w:rFonts w:hint="eastAsia" w:ascii="Times New Roman" w:hAnsi="Times New Roman" w:eastAsia="宋体" w:cs="Times New Roman"/>
                <w:szCs w:val="22"/>
                <w:highlight w:val="none"/>
              </w:rPr>
            </w:pPr>
            <w:r>
              <w:rPr>
                <w:rFonts w:hint="eastAsia" w:ascii="Times New Roman" w:hAnsi="Times New Roman" w:eastAsia="宋体" w:cs="Times New Roman"/>
                <w:szCs w:val="22"/>
                <w:highlight w:val="none"/>
                <w:lang w:eastAsia="zh-CN"/>
              </w:rPr>
              <w:t>7、</w:t>
            </w:r>
            <w:r>
              <w:rPr>
                <w:rFonts w:hint="eastAsia" w:ascii="Times New Roman" w:hAnsi="Times New Roman" w:eastAsia="宋体" w:cs="Times New Roman"/>
                <w:szCs w:val="22"/>
                <w:highlight w:val="none"/>
              </w:rPr>
              <w:t>车辆充满电运行至 SOC20%左右，持续开启空调状态下， 续航里程≥1</w:t>
            </w:r>
            <w:r>
              <w:rPr>
                <w:rFonts w:hint="eastAsia" w:ascii="Times New Roman" w:hAnsi="Times New Roman" w:eastAsia="宋体" w:cs="Times New Roman"/>
                <w:szCs w:val="22"/>
                <w:highlight w:val="none"/>
                <w:lang w:val="en-US" w:eastAsia="zh-CN"/>
              </w:rPr>
              <w:t>5</w:t>
            </w:r>
            <w:r>
              <w:rPr>
                <w:rFonts w:hint="eastAsia" w:ascii="Times New Roman" w:hAnsi="Times New Roman" w:eastAsia="宋体" w:cs="Times New Roman"/>
                <w:szCs w:val="22"/>
                <w:highlight w:val="none"/>
              </w:rPr>
              <w:t>0 公里；</w:t>
            </w:r>
          </w:p>
          <w:p>
            <w:pPr>
              <w:topLinePunct/>
              <w:rPr>
                <w:rFonts w:hint="eastAsia" w:ascii="Times New Roman" w:hAnsi="Times New Roman" w:eastAsia="宋体" w:cs="Times New Roman"/>
                <w:szCs w:val="21"/>
                <w:highlight w:val="none"/>
              </w:rPr>
            </w:pPr>
          </w:p>
        </w:tc>
        <w:tc>
          <w:tcPr>
            <w:tcW w:w="1314" w:type="pct"/>
            <w:tcBorders>
              <w:top w:val="single" w:color="auto" w:sz="6" w:space="0"/>
              <w:left w:val="single" w:color="auto" w:sz="6" w:space="0"/>
              <w:bottom w:val="single" w:color="auto" w:sz="6" w:space="0"/>
              <w:right w:val="single" w:color="auto" w:sz="4" w:space="0"/>
            </w:tcBorders>
            <w:noWrap w:val="0"/>
            <w:vAlign w:val="top"/>
          </w:tcPr>
          <w:p>
            <w:pPr>
              <w:topLinePunct/>
              <w:rPr>
                <w:rFonts w:hint="eastAsia" w:ascii="Times New Roman" w:hAnsi="Times New Roman" w:eastAsia="宋体" w:cs="Times New Roman"/>
                <w:szCs w:val="21"/>
                <w:highlight w:val="none"/>
              </w:rPr>
            </w:pPr>
          </w:p>
        </w:tc>
        <w:tc>
          <w:tcPr>
            <w:tcW w:w="932" w:type="pct"/>
            <w:tcBorders>
              <w:top w:val="single" w:color="auto" w:sz="6" w:space="0"/>
              <w:left w:val="single" w:color="auto" w:sz="4" w:space="0"/>
              <w:bottom w:val="single" w:color="auto" w:sz="6" w:space="0"/>
              <w:right w:val="single" w:color="auto" w:sz="12" w:space="0"/>
            </w:tcBorders>
            <w:noWrap w:val="0"/>
            <w:vAlign w:val="top"/>
          </w:tcPr>
          <w:p>
            <w:pPr>
              <w:topLinePunct/>
              <w:rPr>
                <w:rFonts w:hint="eastAsia" w:ascii="Times New Roman" w:hAnsi="Times New Roman" w:eastAsia="宋体" w:cs="Times New Roman"/>
                <w:szCs w:val="21"/>
                <w:highlight w:val="none"/>
              </w:rPr>
            </w:pPr>
          </w:p>
        </w:tc>
      </w:tr>
      <w:tr>
        <w:tblPrEx>
          <w:tblCellMar>
            <w:top w:w="0" w:type="dxa"/>
            <w:left w:w="30" w:type="dxa"/>
            <w:bottom w:w="0" w:type="dxa"/>
            <w:right w:w="30" w:type="dxa"/>
          </w:tblCellMar>
        </w:tblPrEx>
        <w:trPr>
          <w:cantSplit/>
          <w:trHeight w:val="440" w:hRule="exact"/>
        </w:trPr>
        <w:tc>
          <w:tcPr>
            <w:tcW w:w="455" w:type="pct"/>
            <w:tcBorders>
              <w:top w:val="single" w:color="auto" w:sz="6" w:space="0"/>
              <w:left w:val="single" w:color="auto" w:sz="12" w:space="0"/>
              <w:bottom w:val="single" w:color="auto" w:sz="6" w:space="0"/>
              <w:right w:val="single" w:color="auto" w:sz="6" w:space="0"/>
            </w:tcBorders>
            <w:noWrap w:val="0"/>
            <w:vAlign w:val="center"/>
          </w:tcPr>
          <w:p>
            <w:pPr>
              <w:topLinePunct/>
              <w:jc w:val="center"/>
              <w:rPr>
                <w:rFonts w:hint="eastAsia"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8</w:t>
            </w:r>
          </w:p>
        </w:tc>
        <w:tc>
          <w:tcPr>
            <w:tcW w:w="2297" w:type="pct"/>
            <w:tcBorders>
              <w:top w:val="single" w:color="auto" w:sz="6" w:space="0"/>
              <w:left w:val="single" w:color="auto" w:sz="6" w:space="0"/>
              <w:bottom w:val="single" w:color="auto" w:sz="6" w:space="0"/>
              <w:right w:val="single" w:color="auto" w:sz="6" w:space="0"/>
            </w:tcBorders>
            <w:noWrap w:val="0"/>
            <w:vAlign w:val="top"/>
          </w:tcPr>
          <w:p>
            <w:pPr>
              <w:topLinePunct/>
              <w:rPr>
                <w:rFonts w:hint="eastAsia" w:ascii="Times New Roman" w:hAnsi="Times New Roman" w:eastAsia="宋体" w:cs="Times New Roman"/>
                <w:szCs w:val="21"/>
                <w:highlight w:val="none"/>
              </w:rPr>
            </w:pPr>
            <w:r>
              <w:rPr>
                <w:rFonts w:hint="eastAsia" w:ascii="Times New Roman" w:hAnsi="Times New Roman" w:eastAsia="宋体" w:cs="Times New Roman"/>
                <w:szCs w:val="22"/>
                <w:highlight w:val="none"/>
                <w:lang w:val="en-US" w:eastAsia="zh-CN"/>
              </w:rPr>
              <w:t>8</w:t>
            </w:r>
            <w:r>
              <w:rPr>
                <w:rFonts w:hint="eastAsia" w:ascii="Times New Roman" w:hAnsi="Times New Roman" w:eastAsia="宋体" w:cs="Times New Roman"/>
                <w:szCs w:val="22"/>
                <w:highlight w:val="none"/>
              </w:rPr>
              <w:t>、★5 年内电池衰减＜30%。</w:t>
            </w:r>
          </w:p>
        </w:tc>
        <w:tc>
          <w:tcPr>
            <w:tcW w:w="1314" w:type="pct"/>
            <w:tcBorders>
              <w:top w:val="single" w:color="auto" w:sz="6" w:space="0"/>
              <w:left w:val="single" w:color="auto" w:sz="6" w:space="0"/>
              <w:bottom w:val="single" w:color="auto" w:sz="6" w:space="0"/>
              <w:right w:val="single" w:color="auto" w:sz="4" w:space="0"/>
            </w:tcBorders>
            <w:noWrap w:val="0"/>
            <w:vAlign w:val="top"/>
          </w:tcPr>
          <w:p>
            <w:pPr>
              <w:topLinePunct/>
              <w:rPr>
                <w:rFonts w:hint="eastAsia" w:ascii="Times New Roman" w:hAnsi="Times New Roman" w:eastAsia="宋体" w:cs="Times New Roman"/>
                <w:szCs w:val="21"/>
                <w:highlight w:val="none"/>
              </w:rPr>
            </w:pPr>
          </w:p>
        </w:tc>
        <w:tc>
          <w:tcPr>
            <w:tcW w:w="932" w:type="pct"/>
            <w:tcBorders>
              <w:top w:val="single" w:color="auto" w:sz="6" w:space="0"/>
              <w:left w:val="single" w:color="auto" w:sz="4" w:space="0"/>
              <w:bottom w:val="single" w:color="auto" w:sz="6" w:space="0"/>
              <w:right w:val="single" w:color="auto" w:sz="12" w:space="0"/>
            </w:tcBorders>
            <w:noWrap w:val="0"/>
            <w:vAlign w:val="top"/>
          </w:tcPr>
          <w:p>
            <w:pPr>
              <w:topLinePunct/>
              <w:rPr>
                <w:rFonts w:hint="eastAsia" w:ascii="Times New Roman" w:hAnsi="Times New Roman" w:eastAsia="宋体" w:cs="Times New Roman"/>
                <w:szCs w:val="21"/>
                <w:highlight w:val="none"/>
              </w:rPr>
            </w:pPr>
          </w:p>
        </w:tc>
      </w:tr>
    </w:tbl>
    <w:p>
      <w:pPr>
        <w:spacing w:line="360" w:lineRule="auto"/>
        <w:rPr>
          <w:rFonts w:hint="eastAsia" w:ascii="宋体" w:hAnsi="宋体" w:eastAsia="宋体" w:cs="宋体"/>
          <w:b/>
          <w:bCs/>
          <w:color w:val="auto"/>
          <w:kern w:val="0"/>
          <w:sz w:val="24"/>
          <w:szCs w:val="20"/>
          <w:highlight w:val="none"/>
        </w:rPr>
      </w:pPr>
      <w:r>
        <w:rPr>
          <w:rFonts w:hint="eastAsia" w:ascii="宋体" w:hAnsi="宋体" w:eastAsia="宋体" w:cs="宋体"/>
          <w:b/>
          <w:bCs/>
          <w:color w:val="auto"/>
          <w:kern w:val="0"/>
          <w:sz w:val="24"/>
          <w:szCs w:val="20"/>
          <w:highlight w:val="none"/>
          <w:lang w:val="en-US" w:eastAsia="zh-CN"/>
        </w:rPr>
        <w:t>注：上述格式对应详细评审标准中技术参数响应要求，若不响应对应条款，或未按要求提供承诺，则扣减对应技术条款分值</w:t>
      </w:r>
      <w:r>
        <w:rPr>
          <w:rFonts w:hint="eastAsia" w:ascii="宋体" w:hAnsi="宋体" w:eastAsia="宋体" w:cs="宋体"/>
          <w:b/>
          <w:bCs/>
          <w:color w:val="auto"/>
          <w:kern w:val="0"/>
          <w:sz w:val="24"/>
          <w:szCs w:val="20"/>
          <w:highlight w:val="none"/>
        </w:rPr>
        <w:t>。</w:t>
      </w:r>
    </w:p>
    <w:p>
      <w:pPr>
        <w:spacing w:line="360" w:lineRule="auto"/>
        <w:jc w:val="right"/>
        <w:rPr>
          <w:rFonts w:hint="eastAsia" w:ascii="宋体" w:hAnsi="宋体" w:eastAsia="宋体" w:cs="宋体"/>
          <w:color w:val="auto"/>
          <w:sz w:val="24"/>
          <w:szCs w:val="20"/>
          <w:highlight w:val="none"/>
        </w:rPr>
      </w:pPr>
    </w:p>
    <w:p>
      <w:pPr>
        <w:spacing w:line="360" w:lineRule="auto"/>
        <w:jc w:val="righ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lang w:val="en-US" w:eastAsia="zh-CN"/>
        </w:rPr>
        <w:t>响应</w:t>
      </w:r>
      <w:r>
        <w:rPr>
          <w:rFonts w:hint="eastAsia" w:ascii="宋体" w:hAnsi="宋体" w:eastAsia="宋体" w:cs="宋体"/>
          <w:color w:val="auto"/>
          <w:sz w:val="24"/>
          <w:szCs w:val="20"/>
          <w:highlight w:val="none"/>
        </w:rPr>
        <w:t>人名称：</w:t>
      </w:r>
      <w:r>
        <w:rPr>
          <w:rFonts w:hint="eastAsia" w:ascii="宋体" w:hAnsi="宋体" w:eastAsia="宋体" w:cs="宋体"/>
          <w:color w:val="auto"/>
          <w:sz w:val="24"/>
          <w:szCs w:val="20"/>
          <w:highlight w:val="none"/>
          <w:u w:val="single"/>
        </w:rPr>
        <w:t xml:space="preserve">                   （盖公章） </w:t>
      </w:r>
      <w:r>
        <w:rPr>
          <w:rFonts w:hint="eastAsia" w:ascii="宋体" w:hAnsi="宋体" w:eastAsia="宋体" w:cs="宋体"/>
          <w:color w:val="auto"/>
          <w:sz w:val="24"/>
          <w:szCs w:val="20"/>
          <w:highlight w:val="none"/>
        </w:rPr>
        <w:t xml:space="preserve"> </w:t>
      </w:r>
    </w:p>
    <w:p>
      <w:pPr>
        <w:pStyle w:val="41"/>
        <w:ind w:firstLine="482"/>
        <w:jc w:val="right"/>
        <w:rPr>
          <w:rFonts w:hint="eastAsia" w:ascii="宋体" w:hAnsi="宋体" w:cs="宋体"/>
          <w:b w:val="0"/>
          <w:bCs/>
          <w:color w:val="auto"/>
          <w:highlight w:val="none"/>
        </w:rPr>
      </w:pPr>
      <w:r>
        <w:rPr>
          <w:rFonts w:hint="eastAsia" w:ascii="宋体" w:hAnsi="宋体" w:cs="宋体"/>
          <w:b w:val="0"/>
          <w:bCs/>
          <w:color w:val="auto"/>
          <w:highlight w:val="none"/>
        </w:rPr>
        <w:t>年   月     日</w:t>
      </w:r>
    </w:p>
    <w:p>
      <w:pPr>
        <w:pStyle w:val="6"/>
        <w:jc w:val="center"/>
        <w:rPr>
          <w:rFonts w:ascii="黑体" w:hAnsi="黑体" w:eastAsia="黑体" w:cs="黑体"/>
          <w:sz w:val="28"/>
          <w:szCs w:val="28"/>
          <w:highlight w:val="none"/>
        </w:rPr>
      </w:pPr>
    </w:p>
    <w:p>
      <w:pPr>
        <w:pStyle w:val="6"/>
        <w:jc w:val="center"/>
        <w:rPr>
          <w:rFonts w:ascii="黑体" w:hAnsi="黑体" w:eastAsia="黑体" w:cs="黑体"/>
          <w:sz w:val="28"/>
          <w:szCs w:val="28"/>
          <w:highlight w:val="none"/>
        </w:rPr>
      </w:pPr>
    </w:p>
    <w:p>
      <w:pPr>
        <w:spacing w:line="440" w:lineRule="exact"/>
        <w:ind w:left="1619" w:leftChars="771"/>
        <w:rPr>
          <w:rFonts w:ascii="黑体" w:hAnsi="黑体" w:eastAsia="黑体" w:cs="黑体"/>
          <w:sz w:val="28"/>
          <w:szCs w:val="28"/>
          <w:highlight w:val="none"/>
        </w:rPr>
      </w:pPr>
    </w:p>
    <w:p>
      <w:pPr>
        <w:pStyle w:val="6"/>
        <w:jc w:val="center"/>
        <w:rPr>
          <w:rFonts w:ascii="黑体" w:hAnsi="黑体" w:eastAsia="黑体" w:cs="黑体"/>
          <w:sz w:val="28"/>
          <w:szCs w:val="28"/>
          <w:highlight w:val="none"/>
        </w:rPr>
      </w:pPr>
    </w:p>
    <w:p>
      <w:pPr>
        <w:pStyle w:val="4"/>
        <w:numPr>
          <w:ilvl w:val="0"/>
          <w:numId w:val="7"/>
        </w:numPr>
        <w:jc w:val="center"/>
        <w:rPr>
          <w:rFonts w:ascii="Times New Roman" w:hAnsi="Times New Roman"/>
          <w:sz w:val="28"/>
          <w:szCs w:val="28"/>
        </w:rPr>
      </w:pPr>
      <w:bookmarkStart w:id="186" w:name="_Toc460227118"/>
      <w:bookmarkStart w:id="187" w:name="_Toc421917010"/>
      <w:bookmarkStart w:id="188" w:name="_Toc390411629"/>
      <w:bookmarkStart w:id="189" w:name="_Toc460660233"/>
      <w:r>
        <w:rPr>
          <w:rFonts w:hint="eastAsia" w:ascii="Times New Roman" w:hAnsi="Times New Roman"/>
          <w:sz w:val="28"/>
          <w:szCs w:val="28"/>
          <w:lang w:val="en-US" w:eastAsia="zh-CN"/>
        </w:rPr>
        <w:t>技术实力</w:t>
      </w:r>
    </w:p>
    <w:p>
      <w:pPr>
        <w:numPr>
          <w:ilvl w:val="0"/>
          <w:numId w:val="0"/>
        </w:numPr>
        <w:ind w:left="0" w:leftChars="0" w:firstLine="0"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1、</w:t>
      </w:r>
      <w:r>
        <w:rPr>
          <w:rFonts w:hint="default" w:ascii="Times New Roman" w:hAnsi="Times New Roman" w:eastAsia="宋体" w:cs="Times New Roman"/>
        </w:rPr>
        <w:t>延保服务</w:t>
      </w:r>
      <w:r>
        <w:rPr>
          <w:rFonts w:hint="eastAsia" w:ascii="Times New Roman" w:hAnsi="Times New Roman" w:eastAsia="宋体" w:cs="Times New Roman"/>
          <w:lang w:val="en-US" w:eastAsia="zh-CN"/>
        </w:rPr>
        <w:t>承诺</w:t>
      </w:r>
    </w:p>
    <w:p>
      <w:pPr>
        <w:numPr>
          <w:ilvl w:val="0"/>
          <w:numId w:val="0"/>
        </w:numPr>
        <w:ind w:left="0" w:leftChars="0" w:firstLine="0" w:firstLineChars="0"/>
        <w:rPr>
          <w:rFonts w:hint="eastAsia" w:ascii="Times New Roman" w:hAnsi="Times New Roman" w:eastAsia="宋体" w:cs="Times New Roman"/>
          <w:lang w:val="en-US" w:eastAsia="zh-CN"/>
        </w:rPr>
      </w:pPr>
    </w:p>
    <w:p>
      <w:pPr>
        <w:numPr>
          <w:ilvl w:val="0"/>
          <w:numId w:val="0"/>
        </w:numPr>
        <w:ind w:left="0" w:leftChars="0" w:firstLine="0"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2、技术参数响应承诺</w:t>
      </w:r>
    </w:p>
    <w:p>
      <w:pPr>
        <w:numPr>
          <w:ilvl w:val="0"/>
          <w:numId w:val="0"/>
        </w:numPr>
        <w:ind w:left="0" w:leftChars="0" w:firstLine="0" w:firstLineChars="0"/>
        <w:rPr>
          <w:rFonts w:hint="eastAsia" w:ascii="Times New Roman" w:hAnsi="Times New Roman" w:eastAsia="宋体" w:cs="Times New Roman"/>
          <w:lang w:val="en-US" w:eastAsia="zh-CN"/>
        </w:rPr>
      </w:pPr>
    </w:p>
    <w:p>
      <w:pPr>
        <w:numPr>
          <w:ilvl w:val="0"/>
          <w:numId w:val="0"/>
        </w:numPr>
        <w:ind w:left="0" w:leftChars="0" w:firstLine="0" w:firstLineChars="0"/>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3、响应</w:t>
      </w:r>
      <w:r>
        <w:rPr>
          <w:rFonts w:hint="eastAsia" w:ascii="Times New Roman" w:hAnsi="Times New Roman" w:eastAsia="宋体" w:cs="Times New Roman"/>
        </w:rPr>
        <w:t>产品实力</w:t>
      </w:r>
      <w:r>
        <w:rPr>
          <w:rFonts w:hint="eastAsia" w:ascii="Times New Roman" w:hAnsi="Times New Roman" w:eastAsia="宋体" w:cs="Times New Roman"/>
          <w:lang w:val="en-US" w:eastAsia="zh-CN"/>
        </w:rPr>
        <w:t xml:space="preserve"> </w:t>
      </w:r>
    </w:p>
    <w:p>
      <w:pPr>
        <w:numPr>
          <w:ilvl w:val="0"/>
          <w:numId w:val="0"/>
        </w:numPr>
        <w:ind w:left="0" w:leftChars="0" w:firstLine="0" w:firstLineChars="0"/>
        <w:rPr>
          <w:rFonts w:hint="eastAsia" w:ascii="Times New Roman" w:hAnsi="Times New Roman" w:eastAsia="宋体" w:cs="Times New Roman"/>
          <w:lang w:val="en-US" w:eastAsia="zh-CN"/>
        </w:rPr>
      </w:pPr>
    </w:p>
    <w:p>
      <w:pPr>
        <w:numPr>
          <w:ilvl w:val="0"/>
          <w:numId w:val="0"/>
        </w:numPr>
        <w:ind w:left="0" w:leftChars="0" w:firstLine="0" w:firstLineChars="0"/>
        <w:rPr>
          <w:rFonts w:hint="eastAsia" w:ascii="Times New Roman" w:hAnsi="Times New Roman" w:eastAsia="宋体" w:cs="Times New Roman"/>
        </w:rPr>
      </w:pPr>
      <w:r>
        <w:rPr>
          <w:rFonts w:hint="eastAsia" w:ascii="Times New Roman" w:hAnsi="Times New Roman" w:eastAsia="宋体" w:cs="Times New Roman"/>
          <w:lang w:val="en-US" w:eastAsia="zh-CN"/>
        </w:rPr>
        <w:t>4、</w:t>
      </w:r>
      <w:r>
        <w:rPr>
          <w:rFonts w:hint="eastAsia" w:ascii="Times New Roman" w:hAnsi="Times New Roman" w:eastAsia="宋体" w:cs="Times New Roman"/>
        </w:rPr>
        <w:t>企业业绩</w:t>
      </w:r>
    </w:p>
    <w:p>
      <w:pPr>
        <w:numPr>
          <w:ilvl w:val="0"/>
          <w:numId w:val="0"/>
        </w:numPr>
        <w:ind w:left="0" w:leftChars="0" w:firstLine="0" w:firstLineChars="0"/>
        <w:rPr>
          <w:rFonts w:hint="eastAsia" w:ascii="Times New Roman" w:hAnsi="Times New Roman" w:eastAsia="宋体" w:cs="Times New Roman"/>
          <w:lang w:val="en-US" w:eastAsia="zh-CN"/>
        </w:rPr>
      </w:pPr>
    </w:p>
    <w:p>
      <w:pPr>
        <w:numPr>
          <w:ilvl w:val="0"/>
          <w:numId w:val="8"/>
        </w:numPr>
        <w:ind w:left="0" w:leftChars="0" w:firstLine="0" w:firstLineChars="0"/>
        <w:rPr>
          <w:rFonts w:hint="eastAsia" w:ascii="Times New Roman" w:hAnsi="Times New Roman" w:eastAsia="宋体" w:cs="Times New Roman"/>
        </w:rPr>
      </w:pPr>
      <w:r>
        <w:rPr>
          <w:rFonts w:hint="eastAsia" w:ascii="Times New Roman" w:hAnsi="Times New Roman" w:eastAsia="宋体" w:cs="Times New Roman"/>
          <w:lang w:val="en-US" w:eastAsia="zh-CN"/>
        </w:rPr>
        <w:t>响应</w:t>
      </w:r>
      <w:r>
        <w:rPr>
          <w:rFonts w:hint="eastAsia" w:ascii="Times New Roman" w:hAnsi="Times New Roman" w:eastAsia="宋体" w:cs="Times New Roman"/>
        </w:rPr>
        <w:t>人实力</w:t>
      </w:r>
    </w:p>
    <w:p>
      <w:pPr>
        <w:numPr>
          <w:ilvl w:val="0"/>
          <w:numId w:val="0"/>
        </w:numPr>
        <w:ind w:leftChars="0"/>
        <w:rPr>
          <w:rFonts w:hint="eastAsia" w:ascii="Times New Roman" w:hAnsi="Times New Roman" w:eastAsia="宋体" w:cs="Times New Roman"/>
        </w:rPr>
      </w:pPr>
    </w:p>
    <w:p>
      <w:pPr>
        <w:numPr>
          <w:ilvl w:val="0"/>
          <w:numId w:val="0"/>
        </w:numPr>
        <w:ind w:left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（根据评审办法要求自行拟定）......</w:t>
      </w:r>
    </w:p>
    <w:p>
      <w:pPr>
        <w:tabs>
          <w:tab w:val="left" w:pos="2580"/>
          <w:tab w:val="left" w:pos="5940"/>
        </w:tabs>
        <w:autoSpaceDE w:val="0"/>
        <w:autoSpaceDN w:val="0"/>
        <w:adjustRightInd w:val="0"/>
        <w:snapToGrid w:val="0"/>
        <w:spacing w:line="400" w:lineRule="exact"/>
        <w:rPr>
          <w:rFonts w:eastAsia="黑体"/>
          <w:b/>
          <w:bCs/>
          <w:sz w:val="32"/>
          <w:szCs w:val="3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tabs>
          <w:tab w:val="left" w:pos="2580"/>
          <w:tab w:val="left" w:pos="5940"/>
        </w:tabs>
        <w:autoSpaceDE w:val="0"/>
        <w:autoSpaceDN w:val="0"/>
        <w:adjustRightInd w:val="0"/>
        <w:snapToGrid w:val="0"/>
        <w:spacing w:line="400" w:lineRule="exact"/>
        <w:jc w:val="center"/>
        <w:rPr>
          <w:b/>
          <w:bCs/>
          <w:sz w:val="28"/>
          <w:szCs w:val="22"/>
        </w:rPr>
      </w:pPr>
    </w:p>
    <w:p>
      <w:pPr>
        <w:pStyle w:val="4"/>
        <w:jc w:val="center"/>
        <w:rPr>
          <w:rFonts w:hint="eastAsia" w:ascii="Times New Roman" w:hAnsi="Times New Roman" w:cs="Times New Roman"/>
          <w:sz w:val="28"/>
          <w:szCs w:val="28"/>
          <w:lang w:val="en-US" w:eastAsia="zh-CN"/>
        </w:rPr>
      </w:pPr>
      <w:r>
        <w:rPr>
          <w:rFonts w:ascii="Times New Roman" w:hAnsi="Times New Roman"/>
          <w:b/>
          <w:bCs w:val="0"/>
          <w:sz w:val="28"/>
          <w:szCs w:val="22"/>
        </w:rPr>
        <w:br w:type="page"/>
      </w:r>
      <w:r>
        <w:rPr>
          <w:rFonts w:hint="eastAsia" w:ascii="Times New Roman" w:hAnsi="Times New Roman" w:cs="Times New Roman"/>
          <w:b/>
          <w:bCs w:val="0"/>
          <w:sz w:val="28"/>
          <w:szCs w:val="22"/>
        </w:rPr>
        <w:t>八</w:t>
      </w:r>
      <w:r>
        <w:rPr>
          <w:rFonts w:hint="eastAsia" w:ascii="Times New Roman" w:hAnsi="Times New Roman" w:cs="Times New Roman"/>
          <w:sz w:val="28"/>
          <w:szCs w:val="28"/>
        </w:rPr>
        <w:t>、</w:t>
      </w:r>
      <w:r>
        <w:rPr>
          <w:rFonts w:hint="eastAsia" w:ascii="Times New Roman" w:hAnsi="Times New Roman" w:cs="Times New Roman"/>
          <w:sz w:val="28"/>
          <w:szCs w:val="28"/>
          <w:lang w:val="en-US" w:eastAsia="zh-CN"/>
        </w:rPr>
        <w:t>服务方案</w:t>
      </w:r>
    </w:p>
    <w:p>
      <w:pPr>
        <w:pageBreakBefore w:val="0"/>
        <w:widowControl/>
        <w:kinsoku/>
        <w:wordWrap/>
        <w:overflowPunct/>
        <w:topLinePunct w:val="0"/>
        <w:bidi w:val="0"/>
        <w:spacing w:line="400" w:lineRule="exact"/>
        <w:jc w:val="both"/>
        <w:textAlignment w:val="auto"/>
        <w:rPr>
          <w:rFonts w:hint="default" w:ascii="Times New Roman" w:hAnsi="Times New Roman" w:eastAsia="宋体" w:cs="Times New Roman"/>
          <w:kern w:val="0"/>
          <w:szCs w:val="21"/>
        </w:rPr>
      </w:pPr>
      <w:r>
        <w:rPr>
          <w:rFonts w:hint="eastAsia" w:ascii="Times New Roman" w:hAnsi="Times New Roman" w:eastAsia="宋体" w:cs="Times New Roman"/>
          <w:kern w:val="0"/>
          <w:szCs w:val="21"/>
          <w:lang w:val="en-US" w:eastAsia="zh-CN"/>
        </w:rPr>
        <w:t>1、</w:t>
      </w:r>
      <w:r>
        <w:rPr>
          <w:rFonts w:hint="default" w:ascii="Times New Roman" w:hAnsi="Times New Roman" w:eastAsia="宋体" w:cs="Times New Roman"/>
          <w:kern w:val="0"/>
          <w:szCs w:val="21"/>
        </w:rPr>
        <w:t>设计方案</w:t>
      </w:r>
    </w:p>
    <w:p>
      <w:pPr>
        <w:pageBreakBefore w:val="0"/>
        <w:widowControl/>
        <w:kinsoku/>
        <w:wordWrap/>
        <w:overflowPunct/>
        <w:topLinePunct w:val="0"/>
        <w:bidi w:val="0"/>
        <w:spacing w:line="400" w:lineRule="exact"/>
        <w:jc w:val="both"/>
        <w:textAlignment w:val="auto"/>
        <w:rPr>
          <w:rFonts w:hint="eastAsia" w:ascii="Times New Roman" w:hAnsi="Times New Roman" w:eastAsia="宋体" w:cs="Times New Roman"/>
          <w:kern w:val="0"/>
          <w:szCs w:val="21"/>
          <w:lang w:val="en-US" w:eastAsia="zh-CN"/>
        </w:rPr>
      </w:pPr>
    </w:p>
    <w:p>
      <w:pPr>
        <w:pageBreakBefore w:val="0"/>
        <w:widowControl/>
        <w:kinsoku/>
        <w:wordWrap/>
        <w:overflowPunct/>
        <w:topLinePunct w:val="0"/>
        <w:bidi w:val="0"/>
        <w:spacing w:line="400" w:lineRule="exact"/>
        <w:jc w:val="both"/>
        <w:textAlignment w:val="auto"/>
        <w:rPr>
          <w:rFonts w:hint="default"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2、</w:t>
      </w:r>
      <w:r>
        <w:rPr>
          <w:rFonts w:hint="default" w:ascii="Times New Roman" w:hAnsi="Times New Roman" w:eastAsia="宋体" w:cs="Times New Roman"/>
          <w:kern w:val="0"/>
          <w:szCs w:val="21"/>
        </w:rPr>
        <w:t>供货方案</w:t>
      </w:r>
    </w:p>
    <w:p>
      <w:pPr>
        <w:pageBreakBefore w:val="0"/>
        <w:widowControl/>
        <w:kinsoku/>
        <w:wordWrap/>
        <w:overflowPunct/>
        <w:topLinePunct w:val="0"/>
        <w:bidi w:val="0"/>
        <w:spacing w:line="400" w:lineRule="exact"/>
        <w:jc w:val="both"/>
        <w:textAlignment w:val="auto"/>
        <w:rPr>
          <w:rFonts w:hint="eastAsia" w:ascii="Times New Roman" w:hAnsi="Times New Roman" w:eastAsia="宋体" w:cs="Times New Roman"/>
          <w:kern w:val="0"/>
          <w:szCs w:val="21"/>
          <w:lang w:val="en-US" w:eastAsia="zh-CN"/>
        </w:rPr>
      </w:pPr>
    </w:p>
    <w:p>
      <w:pPr>
        <w:pageBreakBefore w:val="0"/>
        <w:widowControl/>
        <w:kinsoku/>
        <w:wordWrap/>
        <w:overflowPunct/>
        <w:topLinePunct w:val="0"/>
        <w:bidi w:val="0"/>
        <w:spacing w:line="400" w:lineRule="exact"/>
        <w:jc w:val="both"/>
        <w:textAlignment w:val="auto"/>
        <w:rPr>
          <w:rFonts w:hint="default"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3、</w:t>
      </w:r>
      <w:r>
        <w:rPr>
          <w:rFonts w:hint="default" w:ascii="Times New Roman" w:hAnsi="Times New Roman" w:eastAsia="宋体" w:cs="Times New Roman"/>
          <w:kern w:val="0"/>
          <w:szCs w:val="21"/>
        </w:rPr>
        <w:t>售后服务方案</w:t>
      </w:r>
    </w:p>
    <w:p>
      <w:pPr>
        <w:pageBreakBefore w:val="0"/>
        <w:widowControl/>
        <w:kinsoku/>
        <w:wordWrap/>
        <w:overflowPunct/>
        <w:topLinePunct w:val="0"/>
        <w:bidi w:val="0"/>
        <w:spacing w:line="400" w:lineRule="exact"/>
        <w:jc w:val="both"/>
        <w:textAlignment w:val="auto"/>
        <w:rPr>
          <w:rFonts w:hint="eastAsia" w:ascii="Times New Roman" w:hAnsi="Times New Roman" w:eastAsia="宋体" w:cs="Times New Roman"/>
          <w:kern w:val="0"/>
          <w:szCs w:val="21"/>
          <w:lang w:val="en-US" w:eastAsia="zh-CN"/>
        </w:rPr>
      </w:pPr>
    </w:p>
    <w:p>
      <w:pPr>
        <w:pageBreakBefore w:val="0"/>
        <w:widowControl/>
        <w:kinsoku/>
        <w:wordWrap/>
        <w:overflowPunct/>
        <w:topLinePunct w:val="0"/>
        <w:bidi w:val="0"/>
        <w:spacing w:line="400" w:lineRule="exact"/>
        <w:jc w:val="both"/>
        <w:textAlignment w:val="auto"/>
        <w:rPr>
          <w:rFonts w:hint="eastAsia" w:ascii="Times New Roman" w:hAnsi="Times New Roman" w:eastAsia="宋体" w:cs="Times New Roman"/>
          <w:kern w:val="0"/>
          <w:szCs w:val="21"/>
          <w:lang w:eastAsia="zh-CN"/>
        </w:rPr>
      </w:pPr>
      <w:r>
        <w:rPr>
          <w:rFonts w:hint="eastAsia" w:ascii="Times New Roman" w:hAnsi="Times New Roman" w:eastAsia="宋体" w:cs="Times New Roman"/>
          <w:kern w:val="0"/>
          <w:szCs w:val="21"/>
          <w:lang w:val="en-US" w:eastAsia="zh-CN"/>
        </w:rPr>
        <w:t>4、</w:t>
      </w:r>
      <w:r>
        <w:rPr>
          <w:rFonts w:hint="default" w:ascii="Times New Roman" w:hAnsi="Times New Roman" w:eastAsia="宋体" w:cs="Times New Roman"/>
          <w:kern w:val="0"/>
          <w:szCs w:val="21"/>
        </w:rPr>
        <w:t>质量、安全</w:t>
      </w:r>
      <w:r>
        <w:rPr>
          <w:rFonts w:hint="eastAsia" w:ascii="Times New Roman" w:hAnsi="Times New Roman" w:eastAsia="宋体" w:cs="Times New Roman"/>
          <w:kern w:val="0"/>
          <w:szCs w:val="21"/>
          <w:lang w:val="en-US" w:eastAsia="zh-CN"/>
        </w:rPr>
        <w:t>保障</w:t>
      </w:r>
    </w:p>
    <w:p>
      <w:pPr>
        <w:rPr>
          <w:rFonts w:hint="default"/>
          <w:lang w:val="en-US" w:eastAsia="zh-CN"/>
        </w:rPr>
      </w:pPr>
    </w:p>
    <w:p>
      <w:pPr>
        <w:numPr>
          <w:ilvl w:val="0"/>
          <w:numId w:val="0"/>
        </w:numPr>
        <w:ind w:leftChars="0"/>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（根据评审办法要求自行拟定）......</w:t>
      </w:r>
    </w:p>
    <w:p>
      <w:pPr>
        <w:pageBreakBefore w:val="0"/>
        <w:widowControl/>
        <w:kinsoku/>
        <w:wordWrap/>
        <w:overflowPunct/>
        <w:topLinePunct w:val="0"/>
        <w:bidi w:val="0"/>
        <w:spacing w:line="400" w:lineRule="exact"/>
        <w:jc w:val="center"/>
        <w:textAlignment w:val="auto"/>
        <w:rPr>
          <w:rFonts w:hint="default" w:ascii="Times New Roman" w:hAnsi="Times New Roman" w:eastAsia="宋体" w:cs="Times New Roman"/>
          <w:kern w:val="0"/>
          <w:szCs w:val="21"/>
        </w:rPr>
      </w:pPr>
      <w:r>
        <w:rPr>
          <w:rFonts w:ascii="Times New Roman" w:hAnsi="Times New Roman"/>
          <w:b/>
          <w:bCs w:val="0"/>
          <w:sz w:val="28"/>
          <w:szCs w:val="22"/>
        </w:rPr>
        <w:br w:type="page"/>
      </w:r>
    </w:p>
    <w:p>
      <w:pPr>
        <w:pStyle w:val="4"/>
        <w:jc w:val="center"/>
        <w:rPr>
          <w:rFonts w:ascii="Times New Roman" w:hAnsi="Times New Roman"/>
        </w:rPr>
      </w:pPr>
      <w:r>
        <w:rPr>
          <w:rFonts w:hint="eastAsia" w:ascii="Times New Roman" w:hAnsi="Times New Roman"/>
          <w:b/>
          <w:bCs w:val="0"/>
          <w:sz w:val="28"/>
          <w:szCs w:val="22"/>
          <w:lang w:val="en-US" w:eastAsia="zh-CN"/>
        </w:rPr>
        <w:t>九</w:t>
      </w:r>
      <w:r>
        <w:rPr>
          <w:rFonts w:hint="eastAsia" w:ascii="Times New Roman" w:hAnsi="Times New Roman"/>
          <w:sz w:val="28"/>
          <w:szCs w:val="28"/>
        </w:rPr>
        <w:t>、其他资料</w:t>
      </w:r>
      <w:bookmarkEnd w:id="186"/>
      <w:bookmarkEnd w:id="187"/>
      <w:bookmarkEnd w:id="188"/>
      <w:bookmarkEnd w:id="189"/>
    </w:p>
    <w:p>
      <w:pPr>
        <w:tabs>
          <w:tab w:val="left" w:pos="5760"/>
        </w:tabs>
        <w:autoSpaceDE w:val="0"/>
        <w:autoSpaceDN w:val="0"/>
        <w:adjustRightInd w:val="0"/>
        <w:spacing w:line="300" w:lineRule="exact"/>
        <w:ind w:right="11" w:firstLine="420" w:firstLineChars="200"/>
        <w:jc w:val="left"/>
        <w:rPr>
          <w:rFonts w:cs="楷体"/>
          <w:bCs/>
          <w:snapToGrid w:val="0"/>
          <w:kern w:val="0"/>
          <w:szCs w:val="21"/>
        </w:rPr>
      </w:pPr>
      <w:r>
        <w:rPr>
          <w:rFonts w:hint="eastAsia"/>
          <w:szCs w:val="22"/>
          <w:lang w:val="en-US" w:eastAsia="zh-CN"/>
        </w:rPr>
        <w:t>响应</w:t>
      </w:r>
      <w:r>
        <w:rPr>
          <w:rFonts w:hint="eastAsia"/>
          <w:szCs w:val="22"/>
        </w:rPr>
        <w:t>人对照评</w:t>
      </w:r>
      <w:r>
        <w:rPr>
          <w:rFonts w:hint="eastAsia"/>
          <w:szCs w:val="22"/>
          <w:lang w:val="en-US" w:eastAsia="zh-CN"/>
        </w:rPr>
        <w:t>审</w:t>
      </w:r>
      <w:r>
        <w:rPr>
          <w:rFonts w:hint="eastAsia"/>
          <w:szCs w:val="22"/>
        </w:rPr>
        <w:t>办法要求，自行提供其他相关资料（如有）</w:t>
      </w: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ind w:firstLine="2158" w:firstLineChars="1028"/>
        <w:rPr>
          <w:szCs w:val="22"/>
        </w:rPr>
      </w:pPr>
    </w:p>
    <w:p>
      <w:pPr>
        <w:spacing w:line="440" w:lineRule="exact"/>
        <w:rPr>
          <w:szCs w:val="22"/>
        </w:rPr>
      </w:pPr>
    </w:p>
    <w:p>
      <w:pPr>
        <w:spacing w:line="440" w:lineRule="exact"/>
        <w:rPr>
          <w:szCs w:val="22"/>
        </w:rPr>
      </w:pPr>
    </w:p>
    <w:p>
      <w:pPr>
        <w:spacing w:line="440" w:lineRule="exact"/>
        <w:rPr>
          <w:szCs w:val="22"/>
        </w:rPr>
      </w:pPr>
    </w:p>
    <w:p>
      <w:pPr>
        <w:tabs>
          <w:tab w:val="left" w:pos="5760"/>
        </w:tabs>
        <w:autoSpaceDE w:val="0"/>
        <w:autoSpaceDN w:val="0"/>
        <w:adjustRightInd w:val="0"/>
        <w:spacing w:line="300" w:lineRule="exact"/>
        <w:ind w:right="11"/>
        <w:rPr>
          <w:szCs w:val="22"/>
        </w:rPr>
      </w:pPr>
      <w:r>
        <w:rPr>
          <w:rFonts w:hint="eastAsia"/>
          <w:szCs w:val="22"/>
        </w:rPr>
        <w:t>注：对照评</w:t>
      </w:r>
      <w:r>
        <w:rPr>
          <w:rFonts w:hint="eastAsia"/>
          <w:szCs w:val="22"/>
          <w:lang w:val="en-US" w:eastAsia="zh-CN"/>
        </w:rPr>
        <w:t>审</w:t>
      </w:r>
      <w:r>
        <w:rPr>
          <w:rFonts w:hint="eastAsia"/>
          <w:szCs w:val="22"/>
        </w:rPr>
        <w:t>办法要求，由</w:t>
      </w:r>
      <w:r>
        <w:rPr>
          <w:rFonts w:hint="eastAsia"/>
          <w:szCs w:val="22"/>
          <w:lang w:val="en-US" w:eastAsia="zh-CN"/>
        </w:rPr>
        <w:t>响应</w:t>
      </w:r>
      <w:r>
        <w:rPr>
          <w:rFonts w:hint="eastAsia"/>
          <w:szCs w:val="22"/>
        </w:rPr>
        <w:t>人自行提供相关证明。如证明或声明与实际不符，将被取消</w:t>
      </w:r>
      <w:r>
        <w:rPr>
          <w:rFonts w:hint="eastAsia"/>
          <w:szCs w:val="22"/>
          <w:lang w:val="en-US" w:eastAsia="zh-CN"/>
        </w:rPr>
        <w:t>响应</w:t>
      </w:r>
      <w:r>
        <w:rPr>
          <w:rFonts w:hint="eastAsia"/>
          <w:szCs w:val="22"/>
        </w:rPr>
        <w:t>或</w:t>
      </w:r>
      <w:r>
        <w:rPr>
          <w:rFonts w:hint="eastAsia"/>
          <w:szCs w:val="22"/>
          <w:lang w:val="en-US" w:eastAsia="zh-CN"/>
        </w:rPr>
        <w:t>响应</w:t>
      </w:r>
      <w:r>
        <w:rPr>
          <w:rFonts w:hint="eastAsia"/>
          <w:szCs w:val="22"/>
        </w:rPr>
        <w:t>资格。</w:t>
      </w:r>
    </w:p>
    <w:p>
      <w:pPr>
        <w:tabs>
          <w:tab w:val="left" w:pos="5760"/>
        </w:tabs>
        <w:autoSpaceDE w:val="0"/>
        <w:autoSpaceDN w:val="0"/>
        <w:adjustRightInd w:val="0"/>
        <w:spacing w:line="300" w:lineRule="exact"/>
        <w:ind w:right="11"/>
        <w:rPr>
          <w:szCs w:val="22"/>
        </w:rPr>
      </w:pPr>
    </w:p>
    <w:p>
      <w:pPr>
        <w:tabs>
          <w:tab w:val="left" w:pos="5760"/>
        </w:tabs>
        <w:autoSpaceDE w:val="0"/>
        <w:autoSpaceDN w:val="0"/>
        <w:adjustRightInd w:val="0"/>
        <w:spacing w:line="300" w:lineRule="exact"/>
        <w:ind w:right="11"/>
        <w:rPr>
          <w:szCs w:val="22"/>
        </w:rPr>
      </w:pPr>
    </w:p>
    <w:p>
      <w:pPr>
        <w:pStyle w:val="6"/>
        <w:rPr>
          <w:rFonts w:ascii="宋体" w:hAnsi="宋体" w:eastAsia="宋体" w:cs="宋体"/>
          <w:color w:val="000000"/>
          <w:szCs w:val="21"/>
          <w:highlight w:val="none"/>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粗黑宋简体">
    <w:altName w:val="宋体"/>
    <w:panose1 w:val="00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kinsoku w:val="0"/>
      <w:autoSpaceDE w:val="0"/>
      <w:autoSpaceDN w:val="0"/>
      <w:adjustRightInd w:val="0"/>
      <w:snapToGrid w:val="0"/>
      <w:spacing w:line="230" w:lineRule="auto"/>
      <w:ind w:left="4292"/>
      <w:jc w:val="left"/>
      <w:textAlignment w:val="baseline"/>
      <w:rPr>
        <w:rFonts w:ascii="宋体" w:hAnsi="宋体" w:eastAsia="宋体" w:cs="宋体"/>
        <w:snapToGrid w:val="0"/>
        <w:color w:val="000000"/>
        <w:kern w:val="0"/>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autoSpaceDE w:val="0"/>
      <w:autoSpaceDN w:val="0"/>
      <w:adjustRightInd w:val="0"/>
      <w:snapToGrid w:val="0"/>
      <w:spacing w:line="240" w:lineRule="auto"/>
      <w:jc w:val="left"/>
      <w:textAlignment w:val="baseline"/>
      <w:rPr>
        <w:rFonts w:ascii="Arial" w:hAnsi="Arial" w:eastAsia="Arial" w:cs="Arial"/>
        <w:snapToGrid w:val="0"/>
        <w:color w:val="000000"/>
        <w:kern w:val="0"/>
        <w:sz w:val="18"/>
        <w:szCs w:val="21"/>
        <w:lang w:val="en-US" w:eastAsia="en-US"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9264" behindDoc="0" locked="0" layoutInCell="1" allowOverlap="1">
              <wp:simplePos x="0" y="0"/>
              <wp:positionH relativeFrom="margin">
                <wp:posOffset>2341245</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ind w:firstLine="360"/>
                          </w:pPr>
                          <w:r>
                            <w:fldChar w:fldCharType="begin"/>
                          </w:r>
                          <w:r>
                            <w:instrText xml:space="preserve"> PAGE  \* MERGEFORMAT </w:instrText>
                          </w:r>
                          <w:r>
                            <w:fldChar w:fldCharType="separate"/>
                          </w:r>
                          <w:r>
                            <w:t>40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left:184.35pt;margin-top:0pt;height:144pt;width:144pt;mso-position-horizontal-relative:margin;mso-wrap-style:none;z-index:251659264;mso-width-relative:page;mso-height-relative:page;" filled="f" stroked="f" coordsize="21600,21600" o:gfxdata="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CzoCDUAAAACAEAAA8AAAAAAAAAAQAgAAAAIgAAAGRycy9k&#10;b3ducmV2LnhtbFBLAQIUABQAAAAIAIdO4kDYQ+xyzQEAAKcDAAAOAAAAAAAAAAEAIAAAACMBAABk&#10;cnMvZTJvRG9jLnhtbFBLBQYAAAAABgAGAFkBAABiBQAAAAA=&#10;">
              <v:fill on="f" focussize="0,0"/>
              <v:stroke on="f"/>
              <v:imagedata o:title=""/>
              <o:lock v:ext="edit" aspectratio="f"/>
              <v:textbox inset="0mm,0mm,0mm,0mm" style="mso-fit-shape-to-text:t;">
                <w:txbxContent>
                  <w:p>
                    <w:pPr>
                      <w:pStyle w:val="9"/>
                      <w:ind w:firstLine="360"/>
                    </w:pPr>
                    <w:r>
                      <w:fldChar w:fldCharType="begin"/>
                    </w:r>
                    <w:r>
                      <w:instrText xml:space="preserve"> PAGE  \* MERGEFORMAT </w:instrText>
                    </w:r>
                    <w:r>
                      <w:fldChar w:fldCharType="separate"/>
                    </w:r>
                    <w:r>
                      <w:t>40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insoku w:val="0"/>
      <w:autoSpaceDE w:val="0"/>
      <w:autoSpaceDN w:val="0"/>
      <w:adjustRightInd w:val="0"/>
      <w:snapToGrid w:val="0"/>
      <w:spacing w:line="226" w:lineRule="auto"/>
      <w:jc w:val="left"/>
      <w:textAlignment w:val="baseline"/>
      <w:rPr>
        <w:rFonts w:hint="default" w:ascii="宋体" w:hAnsi="宋体" w:eastAsia="宋体" w:cs="宋体"/>
        <w:snapToGrid w:val="0"/>
        <w:color w:val="000000"/>
        <w:kern w:val="0"/>
        <w:sz w:val="18"/>
        <w:szCs w:val="18"/>
        <w:lang w:val="en-US" w:eastAsia="zh-CN" w:bidi="ar-SA"/>
      </w:rPr>
    </w:pPr>
    <w:r>
      <w:rPr>
        <w:rFonts w:hint="eastAsia" w:ascii="Times New Roman" w:hAnsi="Times New Roman" w:eastAsia="宋体" w:cs="Times New Roman"/>
        <w:kern w:val="2"/>
        <w:sz w:val="21"/>
        <w:szCs w:val="24"/>
        <w:lang w:val="en-US" w:eastAsia="zh-CN" w:bidi="ar-S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AE2607CB"/>
    <w:multiLevelType w:val="singleLevel"/>
    <w:tmpl w:val="AE2607CB"/>
    <w:lvl w:ilvl="0" w:tentative="0">
      <w:start w:val="5"/>
      <w:numFmt w:val="chineseCounting"/>
      <w:suff w:val="space"/>
      <w:lvlText w:val="第%1章"/>
      <w:lvlJc w:val="left"/>
      <w:rPr>
        <w:rFonts w:hint="eastAsia"/>
      </w:rPr>
    </w:lvl>
  </w:abstractNum>
  <w:abstractNum w:abstractNumId="2">
    <w:nsid w:val="0EBC0231"/>
    <w:multiLevelType w:val="singleLevel"/>
    <w:tmpl w:val="0EBC0231"/>
    <w:lvl w:ilvl="0" w:tentative="0">
      <w:start w:val="5"/>
      <w:numFmt w:val="decimal"/>
      <w:suff w:val="nothing"/>
      <w:lvlText w:val="%1、"/>
      <w:lvlJc w:val="left"/>
    </w:lvl>
  </w:abstractNum>
  <w:abstractNum w:abstractNumId="3">
    <w:nsid w:val="2D074A01"/>
    <w:multiLevelType w:val="singleLevel"/>
    <w:tmpl w:val="2D074A01"/>
    <w:lvl w:ilvl="0" w:tentative="0">
      <w:start w:val="1"/>
      <w:numFmt w:val="chineseCounting"/>
      <w:suff w:val="nothing"/>
      <w:lvlText w:val="%1、"/>
      <w:lvlJc w:val="left"/>
      <w:rPr>
        <w:rFonts w:hint="eastAsia"/>
      </w:rPr>
    </w:lvl>
  </w:abstractNum>
  <w:abstractNum w:abstractNumId="4">
    <w:nsid w:val="2E95D47B"/>
    <w:multiLevelType w:val="singleLevel"/>
    <w:tmpl w:val="2E95D47B"/>
    <w:lvl w:ilvl="0" w:tentative="0">
      <w:start w:val="1"/>
      <w:numFmt w:val="decimal"/>
      <w:pStyle w:val="3"/>
      <w:suff w:val="nothing"/>
      <w:lvlText w:val="%1．"/>
      <w:lvlJc w:val="left"/>
      <w:pPr>
        <w:ind w:left="17" w:firstLine="400"/>
      </w:pPr>
      <w:rPr>
        <w:rFonts w:hint="default"/>
      </w:rPr>
    </w:lvl>
  </w:abstractNum>
  <w:abstractNum w:abstractNumId="5">
    <w:nsid w:val="53FE0079"/>
    <w:multiLevelType w:val="singleLevel"/>
    <w:tmpl w:val="53FE0079"/>
    <w:lvl w:ilvl="0" w:tentative="0">
      <w:start w:val="4"/>
      <w:numFmt w:val="chineseCounting"/>
      <w:suff w:val="nothing"/>
      <w:lvlText w:val="%1、"/>
      <w:lvlJc w:val="left"/>
      <w:rPr>
        <w:rFonts w:hint="eastAsia"/>
      </w:rPr>
    </w:lvl>
  </w:abstractNum>
  <w:abstractNum w:abstractNumId="6">
    <w:nsid w:val="59988EA0"/>
    <w:multiLevelType w:val="singleLevel"/>
    <w:tmpl w:val="59988EA0"/>
    <w:lvl w:ilvl="0" w:tentative="0">
      <w:start w:val="2"/>
      <w:numFmt w:val="decimal"/>
      <w:suff w:val="nothing"/>
      <w:lvlText w:val="%1、"/>
      <w:lvlJc w:val="left"/>
    </w:lvl>
  </w:abstractNum>
  <w:abstractNum w:abstractNumId="7">
    <w:nsid w:val="5C3FA135"/>
    <w:multiLevelType w:val="singleLevel"/>
    <w:tmpl w:val="5C3FA135"/>
    <w:lvl w:ilvl="0" w:tentative="0">
      <w:start w:val="7"/>
      <w:numFmt w:val="chineseCounting"/>
      <w:suff w:val="nothing"/>
      <w:lvlText w:val="%1、"/>
      <w:lvlJc w:val="left"/>
      <w:rPr>
        <w:rFonts w:hint="eastAsia"/>
      </w:r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I3OGFmYzhhZmVlYzE5NzU4OTRlOWE3OTk4OWYifQ=="/>
  </w:docVars>
  <w:rsids>
    <w:rsidRoot w:val="00172A27"/>
    <w:rsid w:val="00037626"/>
    <w:rsid w:val="00043805"/>
    <w:rsid w:val="00056650"/>
    <w:rsid w:val="00065CDA"/>
    <w:rsid w:val="00075165"/>
    <w:rsid w:val="000A2B98"/>
    <w:rsid w:val="000C168A"/>
    <w:rsid w:val="000E14E9"/>
    <w:rsid w:val="000E1A39"/>
    <w:rsid w:val="00103136"/>
    <w:rsid w:val="0010390C"/>
    <w:rsid w:val="00142D32"/>
    <w:rsid w:val="001571AF"/>
    <w:rsid w:val="00164875"/>
    <w:rsid w:val="00166493"/>
    <w:rsid w:val="00172A27"/>
    <w:rsid w:val="001C18CC"/>
    <w:rsid w:val="001C5613"/>
    <w:rsid w:val="001D3221"/>
    <w:rsid w:val="001D799F"/>
    <w:rsid w:val="00205242"/>
    <w:rsid w:val="00205DBD"/>
    <w:rsid w:val="00210A1D"/>
    <w:rsid w:val="00240DA4"/>
    <w:rsid w:val="002519FD"/>
    <w:rsid w:val="00272678"/>
    <w:rsid w:val="00273CD8"/>
    <w:rsid w:val="00273E55"/>
    <w:rsid w:val="002B094E"/>
    <w:rsid w:val="002C2065"/>
    <w:rsid w:val="002F205F"/>
    <w:rsid w:val="00300F0C"/>
    <w:rsid w:val="00346030"/>
    <w:rsid w:val="0035644A"/>
    <w:rsid w:val="003604F6"/>
    <w:rsid w:val="003626AF"/>
    <w:rsid w:val="003A6B16"/>
    <w:rsid w:val="003B6DCF"/>
    <w:rsid w:val="003C2CD1"/>
    <w:rsid w:val="00402DF9"/>
    <w:rsid w:val="00426A52"/>
    <w:rsid w:val="00427900"/>
    <w:rsid w:val="00444096"/>
    <w:rsid w:val="00467CAE"/>
    <w:rsid w:val="004A1CBB"/>
    <w:rsid w:val="004A6563"/>
    <w:rsid w:val="004C423B"/>
    <w:rsid w:val="00507925"/>
    <w:rsid w:val="00525B00"/>
    <w:rsid w:val="00533497"/>
    <w:rsid w:val="0053398C"/>
    <w:rsid w:val="00545366"/>
    <w:rsid w:val="00546E4E"/>
    <w:rsid w:val="00553633"/>
    <w:rsid w:val="005552DA"/>
    <w:rsid w:val="00561475"/>
    <w:rsid w:val="005651DC"/>
    <w:rsid w:val="00582AF7"/>
    <w:rsid w:val="0058366B"/>
    <w:rsid w:val="00585789"/>
    <w:rsid w:val="0059621B"/>
    <w:rsid w:val="005A118C"/>
    <w:rsid w:val="005A33B5"/>
    <w:rsid w:val="005C2DE0"/>
    <w:rsid w:val="005E54FD"/>
    <w:rsid w:val="005F7E47"/>
    <w:rsid w:val="00631331"/>
    <w:rsid w:val="006377BC"/>
    <w:rsid w:val="00646B33"/>
    <w:rsid w:val="00661709"/>
    <w:rsid w:val="00690999"/>
    <w:rsid w:val="006A184F"/>
    <w:rsid w:val="006B0C8B"/>
    <w:rsid w:val="006D6F7B"/>
    <w:rsid w:val="006E51BB"/>
    <w:rsid w:val="006F36E9"/>
    <w:rsid w:val="0070292D"/>
    <w:rsid w:val="0070390A"/>
    <w:rsid w:val="00713961"/>
    <w:rsid w:val="007174F5"/>
    <w:rsid w:val="007216EC"/>
    <w:rsid w:val="00721C2C"/>
    <w:rsid w:val="00733CE4"/>
    <w:rsid w:val="007350AF"/>
    <w:rsid w:val="00750D66"/>
    <w:rsid w:val="00757002"/>
    <w:rsid w:val="00764CCD"/>
    <w:rsid w:val="00782FE9"/>
    <w:rsid w:val="007F2DA2"/>
    <w:rsid w:val="007F3263"/>
    <w:rsid w:val="00816BCF"/>
    <w:rsid w:val="00825EF3"/>
    <w:rsid w:val="008267FA"/>
    <w:rsid w:val="0083784F"/>
    <w:rsid w:val="008766DD"/>
    <w:rsid w:val="00877226"/>
    <w:rsid w:val="008B21FA"/>
    <w:rsid w:val="008E1521"/>
    <w:rsid w:val="008E7426"/>
    <w:rsid w:val="009007E9"/>
    <w:rsid w:val="009130D0"/>
    <w:rsid w:val="00961304"/>
    <w:rsid w:val="00970C4D"/>
    <w:rsid w:val="009969A9"/>
    <w:rsid w:val="009D0BEC"/>
    <w:rsid w:val="009F0AA5"/>
    <w:rsid w:val="009F2F98"/>
    <w:rsid w:val="00A14222"/>
    <w:rsid w:val="00A6283B"/>
    <w:rsid w:val="00A72F34"/>
    <w:rsid w:val="00A92D02"/>
    <w:rsid w:val="00AB18B6"/>
    <w:rsid w:val="00AB1EEA"/>
    <w:rsid w:val="00AC51A3"/>
    <w:rsid w:val="00AC7918"/>
    <w:rsid w:val="00AE2C23"/>
    <w:rsid w:val="00AF1E53"/>
    <w:rsid w:val="00AF25A5"/>
    <w:rsid w:val="00AF539B"/>
    <w:rsid w:val="00B12A31"/>
    <w:rsid w:val="00B15858"/>
    <w:rsid w:val="00B303C2"/>
    <w:rsid w:val="00B50B49"/>
    <w:rsid w:val="00B93F76"/>
    <w:rsid w:val="00BA1CAE"/>
    <w:rsid w:val="00BB0DD9"/>
    <w:rsid w:val="00BE6BC3"/>
    <w:rsid w:val="00C165B0"/>
    <w:rsid w:val="00C454A0"/>
    <w:rsid w:val="00C53E83"/>
    <w:rsid w:val="00C7141E"/>
    <w:rsid w:val="00C7194D"/>
    <w:rsid w:val="00C93B65"/>
    <w:rsid w:val="00CB1442"/>
    <w:rsid w:val="00CB4EAA"/>
    <w:rsid w:val="00CD6FE9"/>
    <w:rsid w:val="00CE2050"/>
    <w:rsid w:val="00CE443D"/>
    <w:rsid w:val="00D02E59"/>
    <w:rsid w:val="00D1607D"/>
    <w:rsid w:val="00D249DD"/>
    <w:rsid w:val="00D60EAE"/>
    <w:rsid w:val="00D60F2E"/>
    <w:rsid w:val="00D934FC"/>
    <w:rsid w:val="00D94B3C"/>
    <w:rsid w:val="00DA1FD9"/>
    <w:rsid w:val="00DA7119"/>
    <w:rsid w:val="00DB4C2B"/>
    <w:rsid w:val="00DD18EB"/>
    <w:rsid w:val="00DE6371"/>
    <w:rsid w:val="00DF2B57"/>
    <w:rsid w:val="00DF7642"/>
    <w:rsid w:val="00E30A52"/>
    <w:rsid w:val="00E42AA9"/>
    <w:rsid w:val="00E53609"/>
    <w:rsid w:val="00E642DF"/>
    <w:rsid w:val="00E82434"/>
    <w:rsid w:val="00E90327"/>
    <w:rsid w:val="00E927FF"/>
    <w:rsid w:val="00ED718A"/>
    <w:rsid w:val="00EE5833"/>
    <w:rsid w:val="00EF16FF"/>
    <w:rsid w:val="00EF7EF1"/>
    <w:rsid w:val="00F1488D"/>
    <w:rsid w:val="00F27C0A"/>
    <w:rsid w:val="00F56741"/>
    <w:rsid w:val="00F85CDA"/>
    <w:rsid w:val="00F91F67"/>
    <w:rsid w:val="00F92726"/>
    <w:rsid w:val="00F947D4"/>
    <w:rsid w:val="00FC3F61"/>
    <w:rsid w:val="00FE4671"/>
    <w:rsid w:val="00FF4C30"/>
    <w:rsid w:val="01057133"/>
    <w:rsid w:val="01227D26"/>
    <w:rsid w:val="01261938"/>
    <w:rsid w:val="01516AAC"/>
    <w:rsid w:val="015F01C5"/>
    <w:rsid w:val="016467FF"/>
    <w:rsid w:val="016B0268"/>
    <w:rsid w:val="016B560F"/>
    <w:rsid w:val="016F3AE4"/>
    <w:rsid w:val="01992D6C"/>
    <w:rsid w:val="01A05D40"/>
    <w:rsid w:val="01C47A83"/>
    <w:rsid w:val="01D26FB5"/>
    <w:rsid w:val="01D8197B"/>
    <w:rsid w:val="01DB4425"/>
    <w:rsid w:val="01F30A06"/>
    <w:rsid w:val="01F423F9"/>
    <w:rsid w:val="020E2058"/>
    <w:rsid w:val="02355837"/>
    <w:rsid w:val="024946D1"/>
    <w:rsid w:val="0250686A"/>
    <w:rsid w:val="02595534"/>
    <w:rsid w:val="02763446"/>
    <w:rsid w:val="028275B1"/>
    <w:rsid w:val="02836B8D"/>
    <w:rsid w:val="02A66735"/>
    <w:rsid w:val="02AA57BB"/>
    <w:rsid w:val="02AC7E7A"/>
    <w:rsid w:val="02B7452C"/>
    <w:rsid w:val="02C10E78"/>
    <w:rsid w:val="02C7126B"/>
    <w:rsid w:val="02D65DED"/>
    <w:rsid w:val="02DD1573"/>
    <w:rsid w:val="02E81910"/>
    <w:rsid w:val="02E96424"/>
    <w:rsid w:val="02F44385"/>
    <w:rsid w:val="02FD6247"/>
    <w:rsid w:val="03125B78"/>
    <w:rsid w:val="03380757"/>
    <w:rsid w:val="033E575A"/>
    <w:rsid w:val="036B6B95"/>
    <w:rsid w:val="038226D6"/>
    <w:rsid w:val="03960557"/>
    <w:rsid w:val="03A15D0A"/>
    <w:rsid w:val="03B141EB"/>
    <w:rsid w:val="03C834BA"/>
    <w:rsid w:val="03D56ECF"/>
    <w:rsid w:val="03D630D0"/>
    <w:rsid w:val="03DF68F4"/>
    <w:rsid w:val="03ED0A2F"/>
    <w:rsid w:val="03F510F7"/>
    <w:rsid w:val="04063E45"/>
    <w:rsid w:val="040F0B7F"/>
    <w:rsid w:val="04211E08"/>
    <w:rsid w:val="04307FFF"/>
    <w:rsid w:val="043A35D9"/>
    <w:rsid w:val="04457667"/>
    <w:rsid w:val="04467F56"/>
    <w:rsid w:val="045A4B7B"/>
    <w:rsid w:val="045F773C"/>
    <w:rsid w:val="04642508"/>
    <w:rsid w:val="04685518"/>
    <w:rsid w:val="046E5030"/>
    <w:rsid w:val="047A7331"/>
    <w:rsid w:val="048819D9"/>
    <w:rsid w:val="04A248E7"/>
    <w:rsid w:val="04AB6E27"/>
    <w:rsid w:val="04AF2899"/>
    <w:rsid w:val="04B213C1"/>
    <w:rsid w:val="04B67108"/>
    <w:rsid w:val="04CB3E4D"/>
    <w:rsid w:val="04EC0DEF"/>
    <w:rsid w:val="050C173D"/>
    <w:rsid w:val="052B12A4"/>
    <w:rsid w:val="052D64AE"/>
    <w:rsid w:val="0535067A"/>
    <w:rsid w:val="05435747"/>
    <w:rsid w:val="054A377A"/>
    <w:rsid w:val="0571047E"/>
    <w:rsid w:val="05770B44"/>
    <w:rsid w:val="057D77E1"/>
    <w:rsid w:val="05860158"/>
    <w:rsid w:val="05AB5E10"/>
    <w:rsid w:val="05AE7642"/>
    <w:rsid w:val="05BC7068"/>
    <w:rsid w:val="05CB4EDA"/>
    <w:rsid w:val="05DC1624"/>
    <w:rsid w:val="060F639F"/>
    <w:rsid w:val="0616234B"/>
    <w:rsid w:val="061C6516"/>
    <w:rsid w:val="06200956"/>
    <w:rsid w:val="06206644"/>
    <w:rsid w:val="06233674"/>
    <w:rsid w:val="06356AB4"/>
    <w:rsid w:val="06361B7E"/>
    <w:rsid w:val="0637658C"/>
    <w:rsid w:val="06420BE5"/>
    <w:rsid w:val="064F44F5"/>
    <w:rsid w:val="066072C2"/>
    <w:rsid w:val="06750697"/>
    <w:rsid w:val="069B3C00"/>
    <w:rsid w:val="06CA1760"/>
    <w:rsid w:val="06ED25DE"/>
    <w:rsid w:val="06F57E5E"/>
    <w:rsid w:val="07085527"/>
    <w:rsid w:val="073A3426"/>
    <w:rsid w:val="0744651C"/>
    <w:rsid w:val="0757367C"/>
    <w:rsid w:val="07595CAC"/>
    <w:rsid w:val="076F25A8"/>
    <w:rsid w:val="07726F78"/>
    <w:rsid w:val="077508BA"/>
    <w:rsid w:val="077772CA"/>
    <w:rsid w:val="079543F1"/>
    <w:rsid w:val="07A10C59"/>
    <w:rsid w:val="07A45C35"/>
    <w:rsid w:val="07C30E6D"/>
    <w:rsid w:val="07C61AEA"/>
    <w:rsid w:val="07D72EEC"/>
    <w:rsid w:val="07E23ADF"/>
    <w:rsid w:val="07F53477"/>
    <w:rsid w:val="08315767"/>
    <w:rsid w:val="08347001"/>
    <w:rsid w:val="08376EC4"/>
    <w:rsid w:val="083C2C8C"/>
    <w:rsid w:val="083C51DC"/>
    <w:rsid w:val="083F45B1"/>
    <w:rsid w:val="08441E55"/>
    <w:rsid w:val="086D4ACA"/>
    <w:rsid w:val="087E3A40"/>
    <w:rsid w:val="08A5652C"/>
    <w:rsid w:val="08AC6280"/>
    <w:rsid w:val="08B93AAC"/>
    <w:rsid w:val="08D30E12"/>
    <w:rsid w:val="08D840D9"/>
    <w:rsid w:val="08E73475"/>
    <w:rsid w:val="08F04266"/>
    <w:rsid w:val="08F33D56"/>
    <w:rsid w:val="090B1608"/>
    <w:rsid w:val="09120680"/>
    <w:rsid w:val="09193D26"/>
    <w:rsid w:val="092C10F3"/>
    <w:rsid w:val="092D5CEC"/>
    <w:rsid w:val="09306E7A"/>
    <w:rsid w:val="094F558B"/>
    <w:rsid w:val="094F782B"/>
    <w:rsid w:val="095073FA"/>
    <w:rsid w:val="096B4234"/>
    <w:rsid w:val="0973495D"/>
    <w:rsid w:val="097C3D4B"/>
    <w:rsid w:val="099B5D1F"/>
    <w:rsid w:val="099C614A"/>
    <w:rsid w:val="09A07033"/>
    <w:rsid w:val="09A35E85"/>
    <w:rsid w:val="09A7522A"/>
    <w:rsid w:val="09B36429"/>
    <w:rsid w:val="09B83A16"/>
    <w:rsid w:val="0A132DA4"/>
    <w:rsid w:val="0A187F18"/>
    <w:rsid w:val="0A3641B0"/>
    <w:rsid w:val="0A3769B7"/>
    <w:rsid w:val="0A4977DA"/>
    <w:rsid w:val="0A5D06A7"/>
    <w:rsid w:val="0A605CF3"/>
    <w:rsid w:val="0A6564B9"/>
    <w:rsid w:val="0A6B7FB8"/>
    <w:rsid w:val="0A7D7D7B"/>
    <w:rsid w:val="0A944A5A"/>
    <w:rsid w:val="0AA52BD3"/>
    <w:rsid w:val="0AA70A00"/>
    <w:rsid w:val="0AAC4813"/>
    <w:rsid w:val="0AB417AF"/>
    <w:rsid w:val="0ACB14D5"/>
    <w:rsid w:val="0AFC27B3"/>
    <w:rsid w:val="0B0109E6"/>
    <w:rsid w:val="0B0364E1"/>
    <w:rsid w:val="0B183F48"/>
    <w:rsid w:val="0B5605CC"/>
    <w:rsid w:val="0B575328"/>
    <w:rsid w:val="0B575C8E"/>
    <w:rsid w:val="0B5C5BE2"/>
    <w:rsid w:val="0B607438"/>
    <w:rsid w:val="0B8C0B40"/>
    <w:rsid w:val="0B940000"/>
    <w:rsid w:val="0B9E7AAB"/>
    <w:rsid w:val="0BBD53FC"/>
    <w:rsid w:val="0BD95321"/>
    <w:rsid w:val="0BE53DBD"/>
    <w:rsid w:val="0BED7182"/>
    <w:rsid w:val="0BEE3A7F"/>
    <w:rsid w:val="0BF26A1A"/>
    <w:rsid w:val="0C1F3F50"/>
    <w:rsid w:val="0C210E8A"/>
    <w:rsid w:val="0C2D25CC"/>
    <w:rsid w:val="0C37664F"/>
    <w:rsid w:val="0C3A6DCE"/>
    <w:rsid w:val="0C444484"/>
    <w:rsid w:val="0C471C14"/>
    <w:rsid w:val="0C4757BF"/>
    <w:rsid w:val="0C4B11C9"/>
    <w:rsid w:val="0C5344EB"/>
    <w:rsid w:val="0C5B011A"/>
    <w:rsid w:val="0C854A24"/>
    <w:rsid w:val="0C871385"/>
    <w:rsid w:val="0C8D21A0"/>
    <w:rsid w:val="0C932008"/>
    <w:rsid w:val="0C954935"/>
    <w:rsid w:val="0C9E6EE9"/>
    <w:rsid w:val="0CA60BF4"/>
    <w:rsid w:val="0CEE2538"/>
    <w:rsid w:val="0CFF356B"/>
    <w:rsid w:val="0D1C692C"/>
    <w:rsid w:val="0D1F7FB3"/>
    <w:rsid w:val="0D235F12"/>
    <w:rsid w:val="0D371527"/>
    <w:rsid w:val="0D421699"/>
    <w:rsid w:val="0D491784"/>
    <w:rsid w:val="0D903958"/>
    <w:rsid w:val="0DA17B32"/>
    <w:rsid w:val="0DBC5FD9"/>
    <w:rsid w:val="0DBF7526"/>
    <w:rsid w:val="0DD8176C"/>
    <w:rsid w:val="0DDD7B83"/>
    <w:rsid w:val="0DDF03EB"/>
    <w:rsid w:val="0DE17D3B"/>
    <w:rsid w:val="0DE55C13"/>
    <w:rsid w:val="0DEA2CBC"/>
    <w:rsid w:val="0DF76096"/>
    <w:rsid w:val="0DFF4F4B"/>
    <w:rsid w:val="0E0C52D8"/>
    <w:rsid w:val="0E353D12"/>
    <w:rsid w:val="0E3766AA"/>
    <w:rsid w:val="0E3C6E1E"/>
    <w:rsid w:val="0E421045"/>
    <w:rsid w:val="0E5617C7"/>
    <w:rsid w:val="0E5A03D3"/>
    <w:rsid w:val="0E5B2709"/>
    <w:rsid w:val="0E617FB2"/>
    <w:rsid w:val="0EC101C2"/>
    <w:rsid w:val="0EC266A4"/>
    <w:rsid w:val="0EC70BFA"/>
    <w:rsid w:val="0ED43311"/>
    <w:rsid w:val="0EF511C8"/>
    <w:rsid w:val="0EF55437"/>
    <w:rsid w:val="0EF56A7A"/>
    <w:rsid w:val="0F084473"/>
    <w:rsid w:val="0F3638ED"/>
    <w:rsid w:val="0F3E7545"/>
    <w:rsid w:val="0F56600C"/>
    <w:rsid w:val="0F723405"/>
    <w:rsid w:val="0F751969"/>
    <w:rsid w:val="0FCC7A5D"/>
    <w:rsid w:val="0FDB62B2"/>
    <w:rsid w:val="0FE0087A"/>
    <w:rsid w:val="0FE034BE"/>
    <w:rsid w:val="100A243A"/>
    <w:rsid w:val="1015385D"/>
    <w:rsid w:val="102A44BB"/>
    <w:rsid w:val="103C5FE2"/>
    <w:rsid w:val="10406357"/>
    <w:rsid w:val="1055158F"/>
    <w:rsid w:val="10585AE3"/>
    <w:rsid w:val="107348E1"/>
    <w:rsid w:val="107B36EC"/>
    <w:rsid w:val="107D3033"/>
    <w:rsid w:val="109E6C9D"/>
    <w:rsid w:val="10BE733F"/>
    <w:rsid w:val="10C02202"/>
    <w:rsid w:val="10C56148"/>
    <w:rsid w:val="10EE14A7"/>
    <w:rsid w:val="10EF74F9"/>
    <w:rsid w:val="10F71714"/>
    <w:rsid w:val="11076A24"/>
    <w:rsid w:val="1109430C"/>
    <w:rsid w:val="110B15DD"/>
    <w:rsid w:val="112B09BB"/>
    <w:rsid w:val="112C0872"/>
    <w:rsid w:val="114A0BD3"/>
    <w:rsid w:val="115C0B2F"/>
    <w:rsid w:val="116C0B49"/>
    <w:rsid w:val="119244F6"/>
    <w:rsid w:val="119B7A2E"/>
    <w:rsid w:val="119D73DC"/>
    <w:rsid w:val="11A73A14"/>
    <w:rsid w:val="11B93700"/>
    <w:rsid w:val="11CD0AF7"/>
    <w:rsid w:val="11F4632B"/>
    <w:rsid w:val="12137AF9"/>
    <w:rsid w:val="121B6810"/>
    <w:rsid w:val="12243423"/>
    <w:rsid w:val="12367A81"/>
    <w:rsid w:val="12371F81"/>
    <w:rsid w:val="1237641B"/>
    <w:rsid w:val="12411CF0"/>
    <w:rsid w:val="124D1B8B"/>
    <w:rsid w:val="12584AF5"/>
    <w:rsid w:val="126469F3"/>
    <w:rsid w:val="12752E29"/>
    <w:rsid w:val="127D5F3F"/>
    <w:rsid w:val="12845883"/>
    <w:rsid w:val="12857018"/>
    <w:rsid w:val="129B7928"/>
    <w:rsid w:val="12C8183D"/>
    <w:rsid w:val="12D73FF1"/>
    <w:rsid w:val="12DC49E1"/>
    <w:rsid w:val="12DE1788"/>
    <w:rsid w:val="12E15AAD"/>
    <w:rsid w:val="12EF29CB"/>
    <w:rsid w:val="1301017A"/>
    <w:rsid w:val="1303728B"/>
    <w:rsid w:val="13117BFA"/>
    <w:rsid w:val="131D7C46"/>
    <w:rsid w:val="13217712"/>
    <w:rsid w:val="132F62D2"/>
    <w:rsid w:val="134A310C"/>
    <w:rsid w:val="137511FB"/>
    <w:rsid w:val="139157D5"/>
    <w:rsid w:val="13A613F8"/>
    <w:rsid w:val="13A61F8A"/>
    <w:rsid w:val="13D66496"/>
    <w:rsid w:val="13EB2E20"/>
    <w:rsid w:val="13EE17CA"/>
    <w:rsid w:val="13F71AAC"/>
    <w:rsid w:val="13F727DE"/>
    <w:rsid w:val="140531B2"/>
    <w:rsid w:val="141603C9"/>
    <w:rsid w:val="143E047A"/>
    <w:rsid w:val="146A70C1"/>
    <w:rsid w:val="14980C4A"/>
    <w:rsid w:val="14980E16"/>
    <w:rsid w:val="1498179F"/>
    <w:rsid w:val="14BA42FD"/>
    <w:rsid w:val="14C50C9C"/>
    <w:rsid w:val="14CE46D7"/>
    <w:rsid w:val="14D24EDD"/>
    <w:rsid w:val="14DC7DC8"/>
    <w:rsid w:val="14E01A95"/>
    <w:rsid w:val="14E96C4E"/>
    <w:rsid w:val="150A1554"/>
    <w:rsid w:val="153122C9"/>
    <w:rsid w:val="15424009"/>
    <w:rsid w:val="154F540A"/>
    <w:rsid w:val="155319D5"/>
    <w:rsid w:val="156752D2"/>
    <w:rsid w:val="157D0B57"/>
    <w:rsid w:val="158335ED"/>
    <w:rsid w:val="15833F89"/>
    <w:rsid w:val="1589623D"/>
    <w:rsid w:val="15A85EC8"/>
    <w:rsid w:val="15B36D47"/>
    <w:rsid w:val="15C36A4E"/>
    <w:rsid w:val="15DC3D8A"/>
    <w:rsid w:val="15E451EB"/>
    <w:rsid w:val="15E47854"/>
    <w:rsid w:val="15EB36FD"/>
    <w:rsid w:val="15F55102"/>
    <w:rsid w:val="15F64774"/>
    <w:rsid w:val="15F906E0"/>
    <w:rsid w:val="16057AB2"/>
    <w:rsid w:val="160F0395"/>
    <w:rsid w:val="16135A37"/>
    <w:rsid w:val="162149AE"/>
    <w:rsid w:val="162C6C5D"/>
    <w:rsid w:val="163C6D3C"/>
    <w:rsid w:val="16542610"/>
    <w:rsid w:val="16576E90"/>
    <w:rsid w:val="16664275"/>
    <w:rsid w:val="16B0772A"/>
    <w:rsid w:val="16BD38FF"/>
    <w:rsid w:val="16D65EF5"/>
    <w:rsid w:val="16F516A4"/>
    <w:rsid w:val="17067E9D"/>
    <w:rsid w:val="17250EDB"/>
    <w:rsid w:val="173B67EB"/>
    <w:rsid w:val="17514A69"/>
    <w:rsid w:val="17544559"/>
    <w:rsid w:val="17555AF7"/>
    <w:rsid w:val="17606543"/>
    <w:rsid w:val="1771268E"/>
    <w:rsid w:val="177747C5"/>
    <w:rsid w:val="17795CB2"/>
    <w:rsid w:val="1781794F"/>
    <w:rsid w:val="178212C7"/>
    <w:rsid w:val="17B1375A"/>
    <w:rsid w:val="17CE6E77"/>
    <w:rsid w:val="17CE7E68"/>
    <w:rsid w:val="17F9165D"/>
    <w:rsid w:val="17FD5CFB"/>
    <w:rsid w:val="18117CBC"/>
    <w:rsid w:val="18147845"/>
    <w:rsid w:val="181C5AFE"/>
    <w:rsid w:val="18262728"/>
    <w:rsid w:val="18276115"/>
    <w:rsid w:val="182C4401"/>
    <w:rsid w:val="184C5315"/>
    <w:rsid w:val="18510A99"/>
    <w:rsid w:val="18555ABF"/>
    <w:rsid w:val="185F31B6"/>
    <w:rsid w:val="189B41AF"/>
    <w:rsid w:val="18C06D94"/>
    <w:rsid w:val="18E42505"/>
    <w:rsid w:val="18F85CC5"/>
    <w:rsid w:val="1943613C"/>
    <w:rsid w:val="1977008B"/>
    <w:rsid w:val="19862431"/>
    <w:rsid w:val="19902CF2"/>
    <w:rsid w:val="199735D9"/>
    <w:rsid w:val="199C3B12"/>
    <w:rsid w:val="199F4D38"/>
    <w:rsid w:val="19B34DB1"/>
    <w:rsid w:val="19C22F6A"/>
    <w:rsid w:val="19C35EB6"/>
    <w:rsid w:val="19C5115C"/>
    <w:rsid w:val="19C9294C"/>
    <w:rsid w:val="19CC7A79"/>
    <w:rsid w:val="19CE0406"/>
    <w:rsid w:val="19D150E1"/>
    <w:rsid w:val="19DD457B"/>
    <w:rsid w:val="19FD2538"/>
    <w:rsid w:val="1A17222A"/>
    <w:rsid w:val="1A266D89"/>
    <w:rsid w:val="1A3348FA"/>
    <w:rsid w:val="1A412867"/>
    <w:rsid w:val="1A443569"/>
    <w:rsid w:val="1A7F2B1F"/>
    <w:rsid w:val="1AC27301"/>
    <w:rsid w:val="1AC3476E"/>
    <w:rsid w:val="1AE05001"/>
    <w:rsid w:val="1AE16104"/>
    <w:rsid w:val="1AE9320B"/>
    <w:rsid w:val="1B0525A1"/>
    <w:rsid w:val="1B2136A5"/>
    <w:rsid w:val="1B3C333B"/>
    <w:rsid w:val="1B3D7B6B"/>
    <w:rsid w:val="1B7270A9"/>
    <w:rsid w:val="1B742B49"/>
    <w:rsid w:val="1B7A2038"/>
    <w:rsid w:val="1B7D4D66"/>
    <w:rsid w:val="1B826CAD"/>
    <w:rsid w:val="1B830B8C"/>
    <w:rsid w:val="1B8B6665"/>
    <w:rsid w:val="1B8D1DE8"/>
    <w:rsid w:val="1BA07D6D"/>
    <w:rsid w:val="1BC458EB"/>
    <w:rsid w:val="1BC51582"/>
    <w:rsid w:val="1BCA6B98"/>
    <w:rsid w:val="1BDB4E23"/>
    <w:rsid w:val="1BEA478F"/>
    <w:rsid w:val="1BFA4B59"/>
    <w:rsid w:val="1BFF07B9"/>
    <w:rsid w:val="1C1447AF"/>
    <w:rsid w:val="1C1C4F1A"/>
    <w:rsid w:val="1C3542B7"/>
    <w:rsid w:val="1C3A1F70"/>
    <w:rsid w:val="1C4E3A72"/>
    <w:rsid w:val="1C591E3C"/>
    <w:rsid w:val="1C5A6DF2"/>
    <w:rsid w:val="1C7C0CF6"/>
    <w:rsid w:val="1C8702AB"/>
    <w:rsid w:val="1CAD29F5"/>
    <w:rsid w:val="1CB17D58"/>
    <w:rsid w:val="1CD04682"/>
    <w:rsid w:val="1CDD7D1E"/>
    <w:rsid w:val="1CDE2D4A"/>
    <w:rsid w:val="1CDF3C59"/>
    <w:rsid w:val="1CE41B29"/>
    <w:rsid w:val="1CF6219E"/>
    <w:rsid w:val="1D011989"/>
    <w:rsid w:val="1D1C4C9A"/>
    <w:rsid w:val="1D2C0C7A"/>
    <w:rsid w:val="1D4318D2"/>
    <w:rsid w:val="1D435A83"/>
    <w:rsid w:val="1D502683"/>
    <w:rsid w:val="1D547061"/>
    <w:rsid w:val="1D582C93"/>
    <w:rsid w:val="1D6951CC"/>
    <w:rsid w:val="1D6A0A81"/>
    <w:rsid w:val="1D81597C"/>
    <w:rsid w:val="1D8F37AE"/>
    <w:rsid w:val="1DA538B1"/>
    <w:rsid w:val="1DCA0187"/>
    <w:rsid w:val="1DEE3EE6"/>
    <w:rsid w:val="1DEF15E5"/>
    <w:rsid w:val="1DFB3480"/>
    <w:rsid w:val="1E076BA3"/>
    <w:rsid w:val="1E085723"/>
    <w:rsid w:val="1E2E506B"/>
    <w:rsid w:val="1E373F50"/>
    <w:rsid w:val="1E3B3E71"/>
    <w:rsid w:val="1E547E7A"/>
    <w:rsid w:val="1E844E18"/>
    <w:rsid w:val="1EA50B92"/>
    <w:rsid w:val="1EB01493"/>
    <w:rsid w:val="1EB45B84"/>
    <w:rsid w:val="1ED566BF"/>
    <w:rsid w:val="1EE97FFB"/>
    <w:rsid w:val="1F0079C8"/>
    <w:rsid w:val="1F021002"/>
    <w:rsid w:val="1F1D4BD7"/>
    <w:rsid w:val="1F1F765A"/>
    <w:rsid w:val="1F236DF7"/>
    <w:rsid w:val="1F38206B"/>
    <w:rsid w:val="1F382298"/>
    <w:rsid w:val="1F3C5FFF"/>
    <w:rsid w:val="1F5C044F"/>
    <w:rsid w:val="1F6966C8"/>
    <w:rsid w:val="1F6B6469"/>
    <w:rsid w:val="1F822B5D"/>
    <w:rsid w:val="1F837870"/>
    <w:rsid w:val="1F84184E"/>
    <w:rsid w:val="1F8841C9"/>
    <w:rsid w:val="1F942DC6"/>
    <w:rsid w:val="1F9F5217"/>
    <w:rsid w:val="1F9F7B9A"/>
    <w:rsid w:val="1FC653B9"/>
    <w:rsid w:val="1FC830F6"/>
    <w:rsid w:val="1FE50EDC"/>
    <w:rsid w:val="1FFD5491"/>
    <w:rsid w:val="1FFF49B3"/>
    <w:rsid w:val="20085EE1"/>
    <w:rsid w:val="200A49DA"/>
    <w:rsid w:val="2010615E"/>
    <w:rsid w:val="202E73DC"/>
    <w:rsid w:val="20350D4E"/>
    <w:rsid w:val="20433736"/>
    <w:rsid w:val="205B3A40"/>
    <w:rsid w:val="207C19DD"/>
    <w:rsid w:val="209A4709"/>
    <w:rsid w:val="20A32AD4"/>
    <w:rsid w:val="20A83190"/>
    <w:rsid w:val="20B00A53"/>
    <w:rsid w:val="20BB0B4F"/>
    <w:rsid w:val="20C14537"/>
    <w:rsid w:val="20C23964"/>
    <w:rsid w:val="20D03B7B"/>
    <w:rsid w:val="20D55FD7"/>
    <w:rsid w:val="20DE2F63"/>
    <w:rsid w:val="20E34258"/>
    <w:rsid w:val="20ED699B"/>
    <w:rsid w:val="21020B82"/>
    <w:rsid w:val="21063370"/>
    <w:rsid w:val="211B2CD8"/>
    <w:rsid w:val="21225095"/>
    <w:rsid w:val="21290251"/>
    <w:rsid w:val="212B27B8"/>
    <w:rsid w:val="21303DB9"/>
    <w:rsid w:val="217F414A"/>
    <w:rsid w:val="21957A4E"/>
    <w:rsid w:val="21B209FB"/>
    <w:rsid w:val="21C307B3"/>
    <w:rsid w:val="21CE3C80"/>
    <w:rsid w:val="21D11C50"/>
    <w:rsid w:val="21E27CC2"/>
    <w:rsid w:val="21E82062"/>
    <w:rsid w:val="21FC1CC5"/>
    <w:rsid w:val="220F22ED"/>
    <w:rsid w:val="22266C58"/>
    <w:rsid w:val="22290B71"/>
    <w:rsid w:val="223920C8"/>
    <w:rsid w:val="2257773E"/>
    <w:rsid w:val="228C37EE"/>
    <w:rsid w:val="228C6100"/>
    <w:rsid w:val="22A30ED5"/>
    <w:rsid w:val="22A75A54"/>
    <w:rsid w:val="22C75FB3"/>
    <w:rsid w:val="22E43FB7"/>
    <w:rsid w:val="231432F6"/>
    <w:rsid w:val="23202A87"/>
    <w:rsid w:val="23211294"/>
    <w:rsid w:val="23291D55"/>
    <w:rsid w:val="23316C48"/>
    <w:rsid w:val="23331629"/>
    <w:rsid w:val="23533555"/>
    <w:rsid w:val="235C166E"/>
    <w:rsid w:val="2375570F"/>
    <w:rsid w:val="23870C5D"/>
    <w:rsid w:val="23B048C6"/>
    <w:rsid w:val="23B23A20"/>
    <w:rsid w:val="23B5629D"/>
    <w:rsid w:val="23C16AD3"/>
    <w:rsid w:val="23F25D22"/>
    <w:rsid w:val="24013265"/>
    <w:rsid w:val="24202C55"/>
    <w:rsid w:val="244554CD"/>
    <w:rsid w:val="244637AD"/>
    <w:rsid w:val="244D04EE"/>
    <w:rsid w:val="249A29C0"/>
    <w:rsid w:val="24A26904"/>
    <w:rsid w:val="24C01E6D"/>
    <w:rsid w:val="24C22F3D"/>
    <w:rsid w:val="24C74E0F"/>
    <w:rsid w:val="24CC38EA"/>
    <w:rsid w:val="24D665AE"/>
    <w:rsid w:val="24EA1E5C"/>
    <w:rsid w:val="24F713BB"/>
    <w:rsid w:val="25004DAD"/>
    <w:rsid w:val="25040CB4"/>
    <w:rsid w:val="2507530A"/>
    <w:rsid w:val="25080E67"/>
    <w:rsid w:val="252613C4"/>
    <w:rsid w:val="252C2973"/>
    <w:rsid w:val="25374EF4"/>
    <w:rsid w:val="257D4C7B"/>
    <w:rsid w:val="25813229"/>
    <w:rsid w:val="25922CA0"/>
    <w:rsid w:val="25AD37B3"/>
    <w:rsid w:val="25CD46BA"/>
    <w:rsid w:val="25D12068"/>
    <w:rsid w:val="25D23BE2"/>
    <w:rsid w:val="25D376ED"/>
    <w:rsid w:val="25F72C80"/>
    <w:rsid w:val="261E2FED"/>
    <w:rsid w:val="262D3499"/>
    <w:rsid w:val="2631307A"/>
    <w:rsid w:val="26363BA8"/>
    <w:rsid w:val="264F0DC8"/>
    <w:rsid w:val="26505959"/>
    <w:rsid w:val="26757836"/>
    <w:rsid w:val="267942C6"/>
    <w:rsid w:val="268169ED"/>
    <w:rsid w:val="26936A6A"/>
    <w:rsid w:val="26A95D27"/>
    <w:rsid w:val="26AC54AE"/>
    <w:rsid w:val="26AE35E3"/>
    <w:rsid w:val="26CA2142"/>
    <w:rsid w:val="26CC5821"/>
    <w:rsid w:val="26D9686E"/>
    <w:rsid w:val="26E16978"/>
    <w:rsid w:val="26EA132C"/>
    <w:rsid w:val="26FC7E22"/>
    <w:rsid w:val="270A6B81"/>
    <w:rsid w:val="271E5FEA"/>
    <w:rsid w:val="27224050"/>
    <w:rsid w:val="27335F39"/>
    <w:rsid w:val="27573233"/>
    <w:rsid w:val="276F5392"/>
    <w:rsid w:val="276F78A4"/>
    <w:rsid w:val="277F5371"/>
    <w:rsid w:val="27897256"/>
    <w:rsid w:val="279E6A72"/>
    <w:rsid w:val="27A22B9A"/>
    <w:rsid w:val="27A52010"/>
    <w:rsid w:val="27BA7541"/>
    <w:rsid w:val="27E17707"/>
    <w:rsid w:val="27E21785"/>
    <w:rsid w:val="282B207E"/>
    <w:rsid w:val="2832016E"/>
    <w:rsid w:val="28332E82"/>
    <w:rsid w:val="28945AD5"/>
    <w:rsid w:val="28A17421"/>
    <w:rsid w:val="28CB2405"/>
    <w:rsid w:val="28CC65CA"/>
    <w:rsid w:val="28E31299"/>
    <w:rsid w:val="28E4564A"/>
    <w:rsid w:val="28FD4C25"/>
    <w:rsid w:val="29121767"/>
    <w:rsid w:val="2916341D"/>
    <w:rsid w:val="2920429C"/>
    <w:rsid w:val="293529A7"/>
    <w:rsid w:val="29391889"/>
    <w:rsid w:val="294549B1"/>
    <w:rsid w:val="298E4667"/>
    <w:rsid w:val="299921F9"/>
    <w:rsid w:val="299E263B"/>
    <w:rsid w:val="29AC15DA"/>
    <w:rsid w:val="29C849C9"/>
    <w:rsid w:val="29E638F8"/>
    <w:rsid w:val="29FC40FB"/>
    <w:rsid w:val="2A1D6B49"/>
    <w:rsid w:val="2A433E72"/>
    <w:rsid w:val="2A4D466A"/>
    <w:rsid w:val="2A571212"/>
    <w:rsid w:val="2A697EC4"/>
    <w:rsid w:val="2A6C2506"/>
    <w:rsid w:val="2A76695F"/>
    <w:rsid w:val="2A7F4FF2"/>
    <w:rsid w:val="2A930A9D"/>
    <w:rsid w:val="2A9758C1"/>
    <w:rsid w:val="2AA2330A"/>
    <w:rsid w:val="2AA86D0F"/>
    <w:rsid w:val="2AB036B9"/>
    <w:rsid w:val="2AB50200"/>
    <w:rsid w:val="2AC0255C"/>
    <w:rsid w:val="2ACA3C75"/>
    <w:rsid w:val="2ACD4339"/>
    <w:rsid w:val="2AE71769"/>
    <w:rsid w:val="2B0A558D"/>
    <w:rsid w:val="2B104C4C"/>
    <w:rsid w:val="2B1C6134"/>
    <w:rsid w:val="2B274F49"/>
    <w:rsid w:val="2B4705D1"/>
    <w:rsid w:val="2B547EAB"/>
    <w:rsid w:val="2B752198"/>
    <w:rsid w:val="2B9677D0"/>
    <w:rsid w:val="2BA50E72"/>
    <w:rsid w:val="2BB570B9"/>
    <w:rsid w:val="2BCA60F5"/>
    <w:rsid w:val="2BDF25BB"/>
    <w:rsid w:val="2BED184D"/>
    <w:rsid w:val="2BF97573"/>
    <w:rsid w:val="2C282379"/>
    <w:rsid w:val="2C436A23"/>
    <w:rsid w:val="2C706680"/>
    <w:rsid w:val="2C74409C"/>
    <w:rsid w:val="2C78559C"/>
    <w:rsid w:val="2C845E56"/>
    <w:rsid w:val="2C9E62E8"/>
    <w:rsid w:val="2CB12F5F"/>
    <w:rsid w:val="2CC914F3"/>
    <w:rsid w:val="2CCB157B"/>
    <w:rsid w:val="2CCD7379"/>
    <w:rsid w:val="2CD91BE3"/>
    <w:rsid w:val="2CD93E72"/>
    <w:rsid w:val="2CF174D1"/>
    <w:rsid w:val="2CF47F19"/>
    <w:rsid w:val="2CF855B9"/>
    <w:rsid w:val="2D03015C"/>
    <w:rsid w:val="2D044DD1"/>
    <w:rsid w:val="2D1C78E5"/>
    <w:rsid w:val="2D4633AE"/>
    <w:rsid w:val="2D5E7110"/>
    <w:rsid w:val="2D67693D"/>
    <w:rsid w:val="2D6B78B2"/>
    <w:rsid w:val="2D702015"/>
    <w:rsid w:val="2D7D7F0E"/>
    <w:rsid w:val="2D825525"/>
    <w:rsid w:val="2D853AD8"/>
    <w:rsid w:val="2D8B655F"/>
    <w:rsid w:val="2DA3066A"/>
    <w:rsid w:val="2DA41677"/>
    <w:rsid w:val="2DD41AF8"/>
    <w:rsid w:val="2DD45795"/>
    <w:rsid w:val="2DD67FDC"/>
    <w:rsid w:val="2DE17D8A"/>
    <w:rsid w:val="2E452391"/>
    <w:rsid w:val="2E4A067E"/>
    <w:rsid w:val="2E5113E2"/>
    <w:rsid w:val="2E606FE3"/>
    <w:rsid w:val="2E704C0F"/>
    <w:rsid w:val="2E720D19"/>
    <w:rsid w:val="2E821BE2"/>
    <w:rsid w:val="2E9F5461"/>
    <w:rsid w:val="2EA91D25"/>
    <w:rsid w:val="2EBB1156"/>
    <w:rsid w:val="2EBF17FD"/>
    <w:rsid w:val="2EBF392D"/>
    <w:rsid w:val="2EC30534"/>
    <w:rsid w:val="2EC92087"/>
    <w:rsid w:val="2EDC19B7"/>
    <w:rsid w:val="2EED00C8"/>
    <w:rsid w:val="2EF11D09"/>
    <w:rsid w:val="2F107CF7"/>
    <w:rsid w:val="2F1C5807"/>
    <w:rsid w:val="2F21432D"/>
    <w:rsid w:val="2F266163"/>
    <w:rsid w:val="2F2E5C2B"/>
    <w:rsid w:val="2F40118E"/>
    <w:rsid w:val="2F590537"/>
    <w:rsid w:val="2F6A001E"/>
    <w:rsid w:val="2F7E56E8"/>
    <w:rsid w:val="2F8310E0"/>
    <w:rsid w:val="2F8D4F86"/>
    <w:rsid w:val="2FB62E8D"/>
    <w:rsid w:val="30045BF1"/>
    <w:rsid w:val="300C6F30"/>
    <w:rsid w:val="301B31DD"/>
    <w:rsid w:val="302A1EA4"/>
    <w:rsid w:val="302F697C"/>
    <w:rsid w:val="303B074A"/>
    <w:rsid w:val="303D10B7"/>
    <w:rsid w:val="30465DAA"/>
    <w:rsid w:val="30556F21"/>
    <w:rsid w:val="30620D79"/>
    <w:rsid w:val="306F405F"/>
    <w:rsid w:val="307716A4"/>
    <w:rsid w:val="30791531"/>
    <w:rsid w:val="309D35EF"/>
    <w:rsid w:val="30A11808"/>
    <w:rsid w:val="30B66302"/>
    <w:rsid w:val="30B751B3"/>
    <w:rsid w:val="30CE0CEB"/>
    <w:rsid w:val="30E35EBD"/>
    <w:rsid w:val="30EF615D"/>
    <w:rsid w:val="30F614B6"/>
    <w:rsid w:val="30FA547B"/>
    <w:rsid w:val="30FD3114"/>
    <w:rsid w:val="30FD66FE"/>
    <w:rsid w:val="310224D9"/>
    <w:rsid w:val="31254E86"/>
    <w:rsid w:val="31393383"/>
    <w:rsid w:val="317132B7"/>
    <w:rsid w:val="31995AF6"/>
    <w:rsid w:val="31B10180"/>
    <w:rsid w:val="31B168FB"/>
    <w:rsid w:val="31C110EE"/>
    <w:rsid w:val="31CB160E"/>
    <w:rsid w:val="31D81033"/>
    <w:rsid w:val="31DC0B3C"/>
    <w:rsid w:val="31DC7938"/>
    <w:rsid w:val="31ED64D1"/>
    <w:rsid w:val="31F42769"/>
    <w:rsid w:val="31F6028F"/>
    <w:rsid w:val="32006559"/>
    <w:rsid w:val="321B7CF6"/>
    <w:rsid w:val="32232959"/>
    <w:rsid w:val="323374C7"/>
    <w:rsid w:val="323B5665"/>
    <w:rsid w:val="323D1E9E"/>
    <w:rsid w:val="32472149"/>
    <w:rsid w:val="324803BF"/>
    <w:rsid w:val="324C5552"/>
    <w:rsid w:val="32560357"/>
    <w:rsid w:val="32722A86"/>
    <w:rsid w:val="32755658"/>
    <w:rsid w:val="32A15D40"/>
    <w:rsid w:val="32B21EA2"/>
    <w:rsid w:val="32BC0383"/>
    <w:rsid w:val="32C23720"/>
    <w:rsid w:val="32D33D11"/>
    <w:rsid w:val="32E2300A"/>
    <w:rsid w:val="33035B90"/>
    <w:rsid w:val="33100AE4"/>
    <w:rsid w:val="332334E6"/>
    <w:rsid w:val="333052D8"/>
    <w:rsid w:val="3356659E"/>
    <w:rsid w:val="33772A90"/>
    <w:rsid w:val="3388358D"/>
    <w:rsid w:val="33A668A1"/>
    <w:rsid w:val="33A67436"/>
    <w:rsid w:val="33C573CB"/>
    <w:rsid w:val="33DF6EC3"/>
    <w:rsid w:val="33EA6B5F"/>
    <w:rsid w:val="33FF7757"/>
    <w:rsid w:val="3402767A"/>
    <w:rsid w:val="343069EA"/>
    <w:rsid w:val="343C44D4"/>
    <w:rsid w:val="34441786"/>
    <w:rsid w:val="3445237C"/>
    <w:rsid w:val="34487B5D"/>
    <w:rsid w:val="345D7407"/>
    <w:rsid w:val="346C40F4"/>
    <w:rsid w:val="347A4B5A"/>
    <w:rsid w:val="34820779"/>
    <w:rsid w:val="34826A34"/>
    <w:rsid w:val="34C13954"/>
    <w:rsid w:val="34CD11F9"/>
    <w:rsid w:val="34CF5AFD"/>
    <w:rsid w:val="34DF0FFB"/>
    <w:rsid w:val="34FD6977"/>
    <w:rsid w:val="35091493"/>
    <w:rsid w:val="35131187"/>
    <w:rsid w:val="351849C1"/>
    <w:rsid w:val="35664635"/>
    <w:rsid w:val="35764CC9"/>
    <w:rsid w:val="357F680D"/>
    <w:rsid w:val="35903ACA"/>
    <w:rsid w:val="35A9536A"/>
    <w:rsid w:val="35AC6226"/>
    <w:rsid w:val="35BF7FD5"/>
    <w:rsid w:val="35C87EEC"/>
    <w:rsid w:val="35EA1EB9"/>
    <w:rsid w:val="362B46A7"/>
    <w:rsid w:val="363E3FB3"/>
    <w:rsid w:val="3647730B"/>
    <w:rsid w:val="364A6DFC"/>
    <w:rsid w:val="36533F02"/>
    <w:rsid w:val="3659632C"/>
    <w:rsid w:val="36625EF3"/>
    <w:rsid w:val="36655978"/>
    <w:rsid w:val="368558B3"/>
    <w:rsid w:val="36876E6A"/>
    <w:rsid w:val="36970279"/>
    <w:rsid w:val="36980DD0"/>
    <w:rsid w:val="36BD5820"/>
    <w:rsid w:val="36C0156D"/>
    <w:rsid w:val="36CF4BC1"/>
    <w:rsid w:val="36D06F22"/>
    <w:rsid w:val="36F27910"/>
    <w:rsid w:val="370C460C"/>
    <w:rsid w:val="37117618"/>
    <w:rsid w:val="371B6C62"/>
    <w:rsid w:val="372D17C3"/>
    <w:rsid w:val="373B0A3F"/>
    <w:rsid w:val="375508FE"/>
    <w:rsid w:val="37592A8C"/>
    <w:rsid w:val="375F0F03"/>
    <w:rsid w:val="37702AE4"/>
    <w:rsid w:val="377A75FB"/>
    <w:rsid w:val="379940D4"/>
    <w:rsid w:val="379C24D3"/>
    <w:rsid w:val="37E57834"/>
    <w:rsid w:val="37ED1E33"/>
    <w:rsid w:val="38120363"/>
    <w:rsid w:val="382A0CE5"/>
    <w:rsid w:val="383261D0"/>
    <w:rsid w:val="384606FC"/>
    <w:rsid w:val="385703DF"/>
    <w:rsid w:val="385D1023"/>
    <w:rsid w:val="385F5346"/>
    <w:rsid w:val="38646884"/>
    <w:rsid w:val="3883414D"/>
    <w:rsid w:val="38886D3E"/>
    <w:rsid w:val="38910860"/>
    <w:rsid w:val="38973052"/>
    <w:rsid w:val="38AA6CBA"/>
    <w:rsid w:val="38BA0741"/>
    <w:rsid w:val="38C05153"/>
    <w:rsid w:val="38C64F92"/>
    <w:rsid w:val="38E005FB"/>
    <w:rsid w:val="38EE3707"/>
    <w:rsid w:val="38F809A3"/>
    <w:rsid w:val="3913122F"/>
    <w:rsid w:val="39151E6D"/>
    <w:rsid w:val="39266477"/>
    <w:rsid w:val="392E59B6"/>
    <w:rsid w:val="392F4087"/>
    <w:rsid w:val="39330A7E"/>
    <w:rsid w:val="39497A4F"/>
    <w:rsid w:val="3952271F"/>
    <w:rsid w:val="395A1104"/>
    <w:rsid w:val="39655B7A"/>
    <w:rsid w:val="396D35AB"/>
    <w:rsid w:val="39786167"/>
    <w:rsid w:val="397D063A"/>
    <w:rsid w:val="398F73DC"/>
    <w:rsid w:val="399A59A4"/>
    <w:rsid w:val="399C65C7"/>
    <w:rsid w:val="39C01BBA"/>
    <w:rsid w:val="39C731AB"/>
    <w:rsid w:val="39FE2850"/>
    <w:rsid w:val="3A00614F"/>
    <w:rsid w:val="3A085BAA"/>
    <w:rsid w:val="3A185D33"/>
    <w:rsid w:val="3A2C2104"/>
    <w:rsid w:val="3A3B099E"/>
    <w:rsid w:val="3A661D2A"/>
    <w:rsid w:val="3A967177"/>
    <w:rsid w:val="3A9D43B8"/>
    <w:rsid w:val="3AB3450A"/>
    <w:rsid w:val="3AB73885"/>
    <w:rsid w:val="3AD155B7"/>
    <w:rsid w:val="3AD41A3C"/>
    <w:rsid w:val="3AD66AD0"/>
    <w:rsid w:val="3AF07408"/>
    <w:rsid w:val="3AF65008"/>
    <w:rsid w:val="3AFA4DDD"/>
    <w:rsid w:val="3B2D1CE0"/>
    <w:rsid w:val="3B2E1991"/>
    <w:rsid w:val="3B41700C"/>
    <w:rsid w:val="3B4336D5"/>
    <w:rsid w:val="3B824942"/>
    <w:rsid w:val="3B8561E0"/>
    <w:rsid w:val="3B862458"/>
    <w:rsid w:val="3B8F4DF4"/>
    <w:rsid w:val="3B915C89"/>
    <w:rsid w:val="3BBE774B"/>
    <w:rsid w:val="3BCA36FC"/>
    <w:rsid w:val="3BD60C4D"/>
    <w:rsid w:val="3BDB75C3"/>
    <w:rsid w:val="3BFB140F"/>
    <w:rsid w:val="3C2D3061"/>
    <w:rsid w:val="3C330E21"/>
    <w:rsid w:val="3C6B2863"/>
    <w:rsid w:val="3C7E046A"/>
    <w:rsid w:val="3CA2060D"/>
    <w:rsid w:val="3CC669C0"/>
    <w:rsid w:val="3CC742EA"/>
    <w:rsid w:val="3CCA034E"/>
    <w:rsid w:val="3CCC78C1"/>
    <w:rsid w:val="3CEA50ED"/>
    <w:rsid w:val="3D191420"/>
    <w:rsid w:val="3D4445A5"/>
    <w:rsid w:val="3D4729E2"/>
    <w:rsid w:val="3D6150B1"/>
    <w:rsid w:val="3D870377"/>
    <w:rsid w:val="3D9B1CEB"/>
    <w:rsid w:val="3DB644C5"/>
    <w:rsid w:val="3DBA3955"/>
    <w:rsid w:val="3DC64303"/>
    <w:rsid w:val="3DFD18E3"/>
    <w:rsid w:val="3E037C03"/>
    <w:rsid w:val="3E126C05"/>
    <w:rsid w:val="3E1F0B58"/>
    <w:rsid w:val="3E234CC4"/>
    <w:rsid w:val="3E276AFF"/>
    <w:rsid w:val="3E321A01"/>
    <w:rsid w:val="3E3454D4"/>
    <w:rsid w:val="3E430296"/>
    <w:rsid w:val="3E4E3D1C"/>
    <w:rsid w:val="3E546A69"/>
    <w:rsid w:val="3E553473"/>
    <w:rsid w:val="3E56477C"/>
    <w:rsid w:val="3E755BE7"/>
    <w:rsid w:val="3E775349"/>
    <w:rsid w:val="3E7E2662"/>
    <w:rsid w:val="3E9D5BD9"/>
    <w:rsid w:val="3E9F013E"/>
    <w:rsid w:val="3E9F4895"/>
    <w:rsid w:val="3EA024B3"/>
    <w:rsid w:val="3EA6533F"/>
    <w:rsid w:val="3ECD7713"/>
    <w:rsid w:val="3ECE2C18"/>
    <w:rsid w:val="3ED51025"/>
    <w:rsid w:val="3EDF33BB"/>
    <w:rsid w:val="3EF003A8"/>
    <w:rsid w:val="3EF3475E"/>
    <w:rsid w:val="3EF54691"/>
    <w:rsid w:val="3F095681"/>
    <w:rsid w:val="3F413CC5"/>
    <w:rsid w:val="3F4F7EC2"/>
    <w:rsid w:val="3F5F4471"/>
    <w:rsid w:val="3F993F04"/>
    <w:rsid w:val="3FA806EF"/>
    <w:rsid w:val="3FC40205"/>
    <w:rsid w:val="3FCD4245"/>
    <w:rsid w:val="3FE24677"/>
    <w:rsid w:val="3FFF04B0"/>
    <w:rsid w:val="401A5EF0"/>
    <w:rsid w:val="40244992"/>
    <w:rsid w:val="40271F5C"/>
    <w:rsid w:val="40273D0A"/>
    <w:rsid w:val="4036290E"/>
    <w:rsid w:val="404544F3"/>
    <w:rsid w:val="405F54C4"/>
    <w:rsid w:val="407056B1"/>
    <w:rsid w:val="407D2E33"/>
    <w:rsid w:val="408771D7"/>
    <w:rsid w:val="40891574"/>
    <w:rsid w:val="408E1FCA"/>
    <w:rsid w:val="408E3D89"/>
    <w:rsid w:val="409059C0"/>
    <w:rsid w:val="409C64A6"/>
    <w:rsid w:val="40AF5E8F"/>
    <w:rsid w:val="40BF2021"/>
    <w:rsid w:val="40E165AE"/>
    <w:rsid w:val="40FD44FE"/>
    <w:rsid w:val="410A5564"/>
    <w:rsid w:val="410D54FF"/>
    <w:rsid w:val="411D3F96"/>
    <w:rsid w:val="412233A4"/>
    <w:rsid w:val="413E1BC3"/>
    <w:rsid w:val="41477A67"/>
    <w:rsid w:val="414810A7"/>
    <w:rsid w:val="41581702"/>
    <w:rsid w:val="41614FF9"/>
    <w:rsid w:val="41670862"/>
    <w:rsid w:val="4173688E"/>
    <w:rsid w:val="417807D9"/>
    <w:rsid w:val="417967E7"/>
    <w:rsid w:val="418D27F5"/>
    <w:rsid w:val="41954C58"/>
    <w:rsid w:val="4196330C"/>
    <w:rsid w:val="41AC141A"/>
    <w:rsid w:val="41C64205"/>
    <w:rsid w:val="41EB3A9E"/>
    <w:rsid w:val="41EC5D77"/>
    <w:rsid w:val="42002BF2"/>
    <w:rsid w:val="4201379A"/>
    <w:rsid w:val="420A743F"/>
    <w:rsid w:val="421C1817"/>
    <w:rsid w:val="422229E2"/>
    <w:rsid w:val="422F5CF0"/>
    <w:rsid w:val="423B62AA"/>
    <w:rsid w:val="42415557"/>
    <w:rsid w:val="42471655"/>
    <w:rsid w:val="42B06238"/>
    <w:rsid w:val="42BE0EFB"/>
    <w:rsid w:val="42C3699F"/>
    <w:rsid w:val="42C45FF8"/>
    <w:rsid w:val="42CA1067"/>
    <w:rsid w:val="42D62563"/>
    <w:rsid w:val="42E63A7F"/>
    <w:rsid w:val="42F86EFF"/>
    <w:rsid w:val="43091CFC"/>
    <w:rsid w:val="430A4F68"/>
    <w:rsid w:val="43117778"/>
    <w:rsid w:val="431C55A9"/>
    <w:rsid w:val="432664FB"/>
    <w:rsid w:val="432A7C66"/>
    <w:rsid w:val="433418CB"/>
    <w:rsid w:val="43413339"/>
    <w:rsid w:val="43541CB0"/>
    <w:rsid w:val="43644288"/>
    <w:rsid w:val="436D039F"/>
    <w:rsid w:val="438313E0"/>
    <w:rsid w:val="438C0A54"/>
    <w:rsid w:val="43986FE0"/>
    <w:rsid w:val="439873F8"/>
    <w:rsid w:val="439E5AF5"/>
    <w:rsid w:val="43B81849"/>
    <w:rsid w:val="43C646E2"/>
    <w:rsid w:val="43CC52F4"/>
    <w:rsid w:val="43D9610F"/>
    <w:rsid w:val="43E04637"/>
    <w:rsid w:val="43F265E0"/>
    <w:rsid w:val="43FA55C2"/>
    <w:rsid w:val="43FD08B4"/>
    <w:rsid w:val="441270B5"/>
    <w:rsid w:val="44190C7C"/>
    <w:rsid w:val="4422096E"/>
    <w:rsid w:val="444157D5"/>
    <w:rsid w:val="44466E54"/>
    <w:rsid w:val="446D66E7"/>
    <w:rsid w:val="44833717"/>
    <w:rsid w:val="44A5291F"/>
    <w:rsid w:val="44C4421D"/>
    <w:rsid w:val="44CF2CDE"/>
    <w:rsid w:val="45052B0C"/>
    <w:rsid w:val="451A48EF"/>
    <w:rsid w:val="451B2AE2"/>
    <w:rsid w:val="451D5F36"/>
    <w:rsid w:val="45297009"/>
    <w:rsid w:val="452A4198"/>
    <w:rsid w:val="45306B99"/>
    <w:rsid w:val="45341E5B"/>
    <w:rsid w:val="454A41A9"/>
    <w:rsid w:val="454F1443"/>
    <w:rsid w:val="45596180"/>
    <w:rsid w:val="45635018"/>
    <w:rsid w:val="457922EE"/>
    <w:rsid w:val="45925F56"/>
    <w:rsid w:val="45944148"/>
    <w:rsid w:val="459C3A52"/>
    <w:rsid w:val="45A61A3F"/>
    <w:rsid w:val="45CE25C8"/>
    <w:rsid w:val="45D060B6"/>
    <w:rsid w:val="45E2131C"/>
    <w:rsid w:val="45E751E0"/>
    <w:rsid w:val="460725C0"/>
    <w:rsid w:val="460D4620"/>
    <w:rsid w:val="460D54F2"/>
    <w:rsid w:val="46160757"/>
    <w:rsid w:val="46182051"/>
    <w:rsid w:val="46425862"/>
    <w:rsid w:val="46511F57"/>
    <w:rsid w:val="465653EA"/>
    <w:rsid w:val="465B0DD6"/>
    <w:rsid w:val="465C2B7E"/>
    <w:rsid w:val="466678D8"/>
    <w:rsid w:val="46681CC5"/>
    <w:rsid w:val="466A4950"/>
    <w:rsid w:val="46722845"/>
    <w:rsid w:val="46854413"/>
    <w:rsid w:val="46AA3BAF"/>
    <w:rsid w:val="46BD2BBF"/>
    <w:rsid w:val="46CA2A30"/>
    <w:rsid w:val="46E55EA9"/>
    <w:rsid w:val="46E903F6"/>
    <w:rsid w:val="46E920FB"/>
    <w:rsid w:val="46EE5581"/>
    <w:rsid w:val="46FF778E"/>
    <w:rsid w:val="4702061D"/>
    <w:rsid w:val="470E352E"/>
    <w:rsid w:val="470F50AF"/>
    <w:rsid w:val="471A08BE"/>
    <w:rsid w:val="471C3E9C"/>
    <w:rsid w:val="472D380E"/>
    <w:rsid w:val="473B610C"/>
    <w:rsid w:val="47407861"/>
    <w:rsid w:val="47460F19"/>
    <w:rsid w:val="4756581D"/>
    <w:rsid w:val="477E34E4"/>
    <w:rsid w:val="4791799F"/>
    <w:rsid w:val="479428F1"/>
    <w:rsid w:val="47971775"/>
    <w:rsid w:val="47B13E6B"/>
    <w:rsid w:val="47B63522"/>
    <w:rsid w:val="47BE0861"/>
    <w:rsid w:val="47C94EE6"/>
    <w:rsid w:val="47CC5BBD"/>
    <w:rsid w:val="47DE55F6"/>
    <w:rsid w:val="47ED3CA2"/>
    <w:rsid w:val="4801373A"/>
    <w:rsid w:val="4803315E"/>
    <w:rsid w:val="480A0199"/>
    <w:rsid w:val="481467FD"/>
    <w:rsid w:val="482F079F"/>
    <w:rsid w:val="483010A5"/>
    <w:rsid w:val="48334E31"/>
    <w:rsid w:val="4839790E"/>
    <w:rsid w:val="483C0786"/>
    <w:rsid w:val="484C07B1"/>
    <w:rsid w:val="48550397"/>
    <w:rsid w:val="485633DE"/>
    <w:rsid w:val="4865747A"/>
    <w:rsid w:val="48856AA8"/>
    <w:rsid w:val="488A3975"/>
    <w:rsid w:val="4897562F"/>
    <w:rsid w:val="48C651E6"/>
    <w:rsid w:val="48CB40E1"/>
    <w:rsid w:val="48D51D8B"/>
    <w:rsid w:val="48D9107A"/>
    <w:rsid w:val="48E41C5A"/>
    <w:rsid w:val="49025314"/>
    <w:rsid w:val="49130208"/>
    <w:rsid w:val="49392584"/>
    <w:rsid w:val="493B6AAC"/>
    <w:rsid w:val="493F0BA5"/>
    <w:rsid w:val="49700CFC"/>
    <w:rsid w:val="497C39F6"/>
    <w:rsid w:val="498D060A"/>
    <w:rsid w:val="499C3073"/>
    <w:rsid w:val="49BC5471"/>
    <w:rsid w:val="49DA04FD"/>
    <w:rsid w:val="49DA5D92"/>
    <w:rsid w:val="49DD0F1D"/>
    <w:rsid w:val="49E01AD7"/>
    <w:rsid w:val="49E20D34"/>
    <w:rsid w:val="4A1324CB"/>
    <w:rsid w:val="4A1677E0"/>
    <w:rsid w:val="4A1A4DC2"/>
    <w:rsid w:val="4A257DD0"/>
    <w:rsid w:val="4A38409F"/>
    <w:rsid w:val="4A4B510A"/>
    <w:rsid w:val="4A504CF6"/>
    <w:rsid w:val="4A6E2D05"/>
    <w:rsid w:val="4A937223"/>
    <w:rsid w:val="4AA46683"/>
    <w:rsid w:val="4AAE39A4"/>
    <w:rsid w:val="4AB770A4"/>
    <w:rsid w:val="4ABD361B"/>
    <w:rsid w:val="4AC30180"/>
    <w:rsid w:val="4AC54B94"/>
    <w:rsid w:val="4ADC49B4"/>
    <w:rsid w:val="4AE271AB"/>
    <w:rsid w:val="4B0801BB"/>
    <w:rsid w:val="4B0938BE"/>
    <w:rsid w:val="4B0E324A"/>
    <w:rsid w:val="4B275ED4"/>
    <w:rsid w:val="4B4E0FC1"/>
    <w:rsid w:val="4B5A11A2"/>
    <w:rsid w:val="4B613829"/>
    <w:rsid w:val="4B7343E0"/>
    <w:rsid w:val="4B7B6C4C"/>
    <w:rsid w:val="4B8143F2"/>
    <w:rsid w:val="4B9565DB"/>
    <w:rsid w:val="4BA9289B"/>
    <w:rsid w:val="4BAB2B88"/>
    <w:rsid w:val="4BC624A8"/>
    <w:rsid w:val="4BC93EC7"/>
    <w:rsid w:val="4BED5700"/>
    <w:rsid w:val="4BF54DFA"/>
    <w:rsid w:val="4C17527D"/>
    <w:rsid w:val="4C25088A"/>
    <w:rsid w:val="4C260C7A"/>
    <w:rsid w:val="4C272002"/>
    <w:rsid w:val="4C51523E"/>
    <w:rsid w:val="4C6961B4"/>
    <w:rsid w:val="4C7622A1"/>
    <w:rsid w:val="4C795EA4"/>
    <w:rsid w:val="4C9512AC"/>
    <w:rsid w:val="4CBF4CEF"/>
    <w:rsid w:val="4CC254E6"/>
    <w:rsid w:val="4CCF550D"/>
    <w:rsid w:val="4CD527C8"/>
    <w:rsid w:val="4CD74D54"/>
    <w:rsid w:val="4CDC10F5"/>
    <w:rsid w:val="4CE67327"/>
    <w:rsid w:val="4CE8607D"/>
    <w:rsid w:val="4CEB61EE"/>
    <w:rsid w:val="4CEB6BD1"/>
    <w:rsid w:val="4CFF0540"/>
    <w:rsid w:val="4D005B8C"/>
    <w:rsid w:val="4D093BCF"/>
    <w:rsid w:val="4D135D35"/>
    <w:rsid w:val="4D1B4BF6"/>
    <w:rsid w:val="4D267823"/>
    <w:rsid w:val="4D3043B8"/>
    <w:rsid w:val="4D455E95"/>
    <w:rsid w:val="4D506F55"/>
    <w:rsid w:val="4D5E1FDB"/>
    <w:rsid w:val="4D640D09"/>
    <w:rsid w:val="4D6C0912"/>
    <w:rsid w:val="4D7C205D"/>
    <w:rsid w:val="4D934E46"/>
    <w:rsid w:val="4D9D220A"/>
    <w:rsid w:val="4DAB5909"/>
    <w:rsid w:val="4DB21980"/>
    <w:rsid w:val="4DCD56A8"/>
    <w:rsid w:val="4DFD1E86"/>
    <w:rsid w:val="4E097ACA"/>
    <w:rsid w:val="4E0B01FE"/>
    <w:rsid w:val="4E181B0A"/>
    <w:rsid w:val="4E2317B5"/>
    <w:rsid w:val="4E4E3891"/>
    <w:rsid w:val="4E544E21"/>
    <w:rsid w:val="4E5959D6"/>
    <w:rsid w:val="4E7B3B9E"/>
    <w:rsid w:val="4E7B594C"/>
    <w:rsid w:val="4E7B64C2"/>
    <w:rsid w:val="4E7F0372"/>
    <w:rsid w:val="4E9D1C1C"/>
    <w:rsid w:val="4E9F0C0D"/>
    <w:rsid w:val="4EA57CFD"/>
    <w:rsid w:val="4EA75F3A"/>
    <w:rsid w:val="4EAF1CC4"/>
    <w:rsid w:val="4EEF6771"/>
    <w:rsid w:val="4F1849CE"/>
    <w:rsid w:val="4F1B1845"/>
    <w:rsid w:val="4F1C0D87"/>
    <w:rsid w:val="4F2A5D64"/>
    <w:rsid w:val="4F2F61D8"/>
    <w:rsid w:val="4F3610D5"/>
    <w:rsid w:val="4F3772ED"/>
    <w:rsid w:val="4F377DEA"/>
    <w:rsid w:val="4F3E2DF1"/>
    <w:rsid w:val="4F444103"/>
    <w:rsid w:val="4F490CA6"/>
    <w:rsid w:val="4F4977F9"/>
    <w:rsid w:val="4F4B2539"/>
    <w:rsid w:val="4F4B5944"/>
    <w:rsid w:val="4F5B77C3"/>
    <w:rsid w:val="4F7A20A8"/>
    <w:rsid w:val="4FA451DF"/>
    <w:rsid w:val="4FBD2661"/>
    <w:rsid w:val="4FBF682B"/>
    <w:rsid w:val="4FC4665A"/>
    <w:rsid w:val="4FD23C92"/>
    <w:rsid w:val="4FF3728E"/>
    <w:rsid w:val="4FFE6835"/>
    <w:rsid w:val="500258BF"/>
    <w:rsid w:val="50164E9C"/>
    <w:rsid w:val="5039019E"/>
    <w:rsid w:val="503A5393"/>
    <w:rsid w:val="503B2799"/>
    <w:rsid w:val="504D50C7"/>
    <w:rsid w:val="50527900"/>
    <w:rsid w:val="505A1FF4"/>
    <w:rsid w:val="505A55CD"/>
    <w:rsid w:val="50695D0B"/>
    <w:rsid w:val="50717C95"/>
    <w:rsid w:val="507E1E70"/>
    <w:rsid w:val="50860FF0"/>
    <w:rsid w:val="50AF013D"/>
    <w:rsid w:val="50CE2F73"/>
    <w:rsid w:val="50EA0B67"/>
    <w:rsid w:val="510D5690"/>
    <w:rsid w:val="51164D21"/>
    <w:rsid w:val="512348E8"/>
    <w:rsid w:val="512B60B4"/>
    <w:rsid w:val="513118E7"/>
    <w:rsid w:val="515E2842"/>
    <w:rsid w:val="51694722"/>
    <w:rsid w:val="517174DB"/>
    <w:rsid w:val="5190720E"/>
    <w:rsid w:val="519331E2"/>
    <w:rsid w:val="5197481D"/>
    <w:rsid w:val="51BF09E2"/>
    <w:rsid w:val="51C20F3A"/>
    <w:rsid w:val="51C621E0"/>
    <w:rsid w:val="51D05EF0"/>
    <w:rsid w:val="51E63EA3"/>
    <w:rsid w:val="51F14A65"/>
    <w:rsid w:val="51F6040A"/>
    <w:rsid w:val="52063118"/>
    <w:rsid w:val="527B18BB"/>
    <w:rsid w:val="528B6C58"/>
    <w:rsid w:val="52A9097C"/>
    <w:rsid w:val="52B54EDC"/>
    <w:rsid w:val="52C939F0"/>
    <w:rsid w:val="52EC44CE"/>
    <w:rsid w:val="53096FB7"/>
    <w:rsid w:val="5317448F"/>
    <w:rsid w:val="53226CDE"/>
    <w:rsid w:val="53231B39"/>
    <w:rsid w:val="532E3271"/>
    <w:rsid w:val="533539DF"/>
    <w:rsid w:val="535E1B65"/>
    <w:rsid w:val="53653F46"/>
    <w:rsid w:val="53656BCB"/>
    <w:rsid w:val="538439FF"/>
    <w:rsid w:val="53900643"/>
    <w:rsid w:val="53914580"/>
    <w:rsid w:val="5392540C"/>
    <w:rsid w:val="53B20924"/>
    <w:rsid w:val="53B3034F"/>
    <w:rsid w:val="53C438F2"/>
    <w:rsid w:val="53CD2711"/>
    <w:rsid w:val="540A11ED"/>
    <w:rsid w:val="543C6045"/>
    <w:rsid w:val="544113E6"/>
    <w:rsid w:val="54442A7B"/>
    <w:rsid w:val="54577048"/>
    <w:rsid w:val="545C4EB6"/>
    <w:rsid w:val="546724CF"/>
    <w:rsid w:val="54721B42"/>
    <w:rsid w:val="54770067"/>
    <w:rsid w:val="54EB1C13"/>
    <w:rsid w:val="55182082"/>
    <w:rsid w:val="55442C87"/>
    <w:rsid w:val="554A6079"/>
    <w:rsid w:val="5558452D"/>
    <w:rsid w:val="55646D9A"/>
    <w:rsid w:val="5572737D"/>
    <w:rsid w:val="557E0F4D"/>
    <w:rsid w:val="557F3BEB"/>
    <w:rsid w:val="55997285"/>
    <w:rsid w:val="55AE2AAB"/>
    <w:rsid w:val="55BD6D09"/>
    <w:rsid w:val="55BE6A05"/>
    <w:rsid w:val="55C477FF"/>
    <w:rsid w:val="55C83941"/>
    <w:rsid w:val="55DA29AC"/>
    <w:rsid w:val="55DB488F"/>
    <w:rsid w:val="55F304BE"/>
    <w:rsid w:val="55F92F01"/>
    <w:rsid w:val="55FD758F"/>
    <w:rsid w:val="561E6AF9"/>
    <w:rsid w:val="561F5757"/>
    <w:rsid w:val="562B638E"/>
    <w:rsid w:val="56424DE3"/>
    <w:rsid w:val="56701B0F"/>
    <w:rsid w:val="568850AA"/>
    <w:rsid w:val="56AE2637"/>
    <w:rsid w:val="56BE2DED"/>
    <w:rsid w:val="56C54A41"/>
    <w:rsid w:val="56CF16EA"/>
    <w:rsid w:val="56D51695"/>
    <w:rsid w:val="56D835EF"/>
    <w:rsid w:val="56E01E7C"/>
    <w:rsid w:val="56F62F15"/>
    <w:rsid w:val="56FF2C87"/>
    <w:rsid w:val="57016C0B"/>
    <w:rsid w:val="57083261"/>
    <w:rsid w:val="571E0A0C"/>
    <w:rsid w:val="571E1ADE"/>
    <w:rsid w:val="57735468"/>
    <w:rsid w:val="57736901"/>
    <w:rsid w:val="577B1689"/>
    <w:rsid w:val="577B4C0F"/>
    <w:rsid w:val="57854EF9"/>
    <w:rsid w:val="578E5B6E"/>
    <w:rsid w:val="57AC473C"/>
    <w:rsid w:val="57C35D9A"/>
    <w:rsid w:val="57D1269B"/>
    <w:rsid w:val="57E3116C"/>
    <w:rsid w:val="57E639F8"/>
    <w:rsid w:val="57F435E4"/>
    <w:rsid w:val="58033794"/>
    <w:rsid w:val="58212766"/>
    <w:rsid w:val="58263803"/>
    <w:rsid w:val="583B5BED"/>
    <w:rsid w:val="584B2C50"/>
    <w:rsid w:val="58575B08"/>
    <w:rsid w:val="589C0B6F"/>
    <w:rsid w:val="58A806C6"/>
    <w:rsid w:val="58B26E94"/>
    <w:rsid w:val="58C223CA"/>
    <w:rsid w:val="58C346B5"/>
    <w:rsid w:val="58D53FE9"/>
    <w:rsid w:val="58E42340"/>
    <w:rsid w:val="59020C98"/>
    <w:rsid w:val="5959116E"/>
    <w:rsid w:val="59633BAD"/>
    <w:rsid w:val="59A71C9E"/>
    <w:rsid w:val="59A76356"/>
    <w:rsid w:val="59F04A80"/>
    <w:rsid w:val="59F519D4"/>
    <w:rsid w:val="59F85C2D"/>
    <w:rsid w:val="5A050A6E"/>
    <w:rsid w:val="5A2630E3"/>
    <w:rsid w:val="5A307436"/>
    <w:rsid w:val="5A403EEE"/>
    <w:rsid w:val="5A4B0CCF"/>
    <w:rsid w:val="5A582702"/>
    <w:rsid w:val="5A9A1081"/>
    <w:rsid w:val="5AAF5B5F"/>
    <w:rsid w:val="5AB02E22"/>
    <w:rsid w:val="5ABD6DE3"/>
    <w:rsid w:val="5ABE4B4A"/>
    <w:rsid w:val="5AC52707"/>
    <w:rsid w:val="5AC7420B"/>
    <w:rsid w:val="5AE24B69"/>
    <w:rsid w:val="5AEC7070"/>
    <w:rsid w:val="5B0C0D1E"/>
    <w:rsid w:val="5B1001B5"/>
    <w:rsid w:val="5B1038C0"/>
    <w:rsid w:val="5B34668A"/>
    <w:rsid w:val="5B505F2C"/>
    <w:rsid w:val="5B520346"/>
    <w:rsid w:val="5B53605F"/>
    <w:rsid w:val="5B5D078C"/>
    <w:rsid w:val="5B6031DF"/>
    <w:rsid w:val="5B811F6C"/>
    <w:rsid w:val="5B966550"/>
    <w:rsid w:val="5BA832AB"/>
    <w:rsid w:val="5BAA32C9"/>
    <w:rsid w:val="5BCF6F3C"/>
    <w:rsid w:val="5BD55463"/>
    <w:rsid w:val="5BD64EC0"/>
    <w:rsid w:val="5BDB4983"/>
    <w:rsid w:val="5BED44EF"/>
    <w:rsid w:val="5BED7960"/>
    <w:rsid w:val="5BEE1FFE"/>
    <w:rsid w:val="5BFB1FB9"/>
    <w:rsid w:val="5C065934"/>
    <w:rsid w:val="5C337866"/>
    <w:rsid w:val="5C762B57"/>
    <w:rsid w:val="5C7D3080"/>
    <w:rsid w:val="5C7D4F86"/>
    <w:rsid w:val="5C7E0D7E"/>
    <w:rsid w:val="5C864410"/>
    <w:rsid w:val="5CA409DB"/>
    <w:rsid w:val="5CB30722"/>
    <w:rsid w:val="5CC311B1"/>
    <w:rsid w:val="5CC6567E"/>
    <w:rsid w:val="5CD77A98"/>
    <w:rsid w:val="5CF408B8"/>
    <w:rsid w:val="5CF47502"/>
    <w:rsid w:val="5CF60A0C"/>
    <w:rsid w:val="5D2106CA"/>
    <w:rsid w:val="5D274F13"/>
    <w:rsid w:val="5D3E0BA9"/>
    <w:rsid w:val="5D53665D"/>
    <w:rsid w:val="5D690E03"/>
    <w:rsid w:val="5D6935B6"/>
    <w:rsid w:val="5D6C356E"/>
    <w:rsid w:val="5D8B2FDB"/>
    <w:rsid w:val="5D980AE0"/>
    <w:rsid w:val="5D9C768D"/>
    <w:rsid w:val="5DAC2B79"/>
    <w:rsid w:val="5DBC388C"/>
    <w:rsid w:val="5DC32F9C"/>
    <w:rsid w:val="5DCF2540"/>
    <w:rsid w:val="5DDE0A36"/>
    <w:rsid w:val="5DE9733D"/>
    <w:rsid w:val="5DED6180"/>
    <w:rsid w:val="5E021BE6"/>
    <w:rsid w:val="5E08794E"/>
    <w:rsid w:val="5E0D6B87"/>
    <w:rsid w:val="5E2B7EEF"/>
    <w:rsid w:val="5E3677AF"/>
    <w:rsid w:val="5E4C0BFA"/>
    <w:rsid w:val="5E523044"/>
    <w:rsid w:val="5E85744A"/>
    <w:rsid w:val="5E8B1BDC"/>
    <w:rsid w:val="5E9D79FE"/>
    <w:rsid w:val="5EA4369B"/>
    <w:rsid w:val="5EBB3B43"/>
    <w:rsid w:val="5EE74071"/>
    <w:rsid w:val="5EF73E05"/>
    <w:rsid w:val="5F0F7B0F"/>
    <w:rsid w:val="5F1D3C82"/>
    <w:rsid w:val="5F341672"/>
    <w:rsid w:val="5F8403D9"/>
    <w:rsid w:val="5FB2630F"/>
    <w:rsid w:val="5FB81819"/>
    <w:rsid w:val="5FC83DD2"/>
    <w:rsid w:val="5FD414E3"/>
    <w:rsid w:val="5FD7533F"/>
    <w:rsid w:val="5FD92ABE"/>
    <w:rsid w:val="5FEB2D87"/>
    <w:rsid w:val="5FF92694"/>
    <w:rsid w:val="60094922"/>
    <w:rsid w:val="600E1AEF"/>
    <w:rsid w:val="60105701"/>
    <w:rsid w:val="60235E44"/>
    <w:rsid w:val="60247FFD"/>
    <w:rsid w:val="60285AB9"/>
    <w:rsid w:val="602F511B"/>
    <w:rsid w:val="604A5077"/>
    <w:rsid w:val="604B1BE5"/>
    <w:rsid w:val="605F2621"/>
    <w:rsid w:val="606648E2"/>
    <w:rsid w:val="606E3C93"/>
    <w:rsid w:val="606F30CE"/>
    <w:rsid w:val="60856FB6"/>
    <w:rsid w:val="609E2BF4"/>
    <w:rsid w:val="60A14466"/>
    <w:rsid w:val="60B50C23"/>
    <w:rsid w:val="60CC64DC"/>
    <w:rsid w:val="60EA7638"/>
    <w:rsid w:val="6107582C"/>
    <w:rsid w:val="612F392E"/>
    <w:rsid w:val="613D0256"/>
    <w:rsid w:val="614C7A15"/>
    <w:rsid w:val="615362B5"/>
    <w:rsid w:val="618B4124"/>
    <w:rsid w:val="618D3BCD"/>
    <w:rsid w:val="619743F4"/>
    <w:rsid w:val="61AA5A61"/>
    <w:rsid w:val="61C96577"/>
    <w:rsid w:val="61D740F7"/>
    <w:rsid w:val="61E635CD"/>
    <w:rsid w:val="6208709F"/>
    <w:rsid w:val="6228378C"/>
    <w:rsid w:val="6228683D"/>
    <w:rsid w:val="622A6B9A"/>
    <w:rsid w:val="622D3184"/>
    <w:rsid w:val="62410803"/>
    <w:rsid w:val="625B5CA9"/>
    <w:rsid w:val="62756CE9"/>
    <w:rsid w:val="6294722E"/>
    <w:rsid w:val="62A13F4D"/>
    <w:rsid w:val="62E56056"/>
    <w:rsid w:val="63003347"/>
    <w:rsid w:val="63023C14"/>
    <w:rsid w:val="63193A39"/>
    <w:rsid w:val="6320666B"/>
    <w:rsid w:val="63295801"/>
    <w:rsid w:val="633F11E7"/>
    <w:rsid w:val="63471E49"/>
    <w:rsid w:val="634D713D"/>
    <w:rsid w:val="636D2F3A"/>
    <w:rsid w:val="63771C40"/>
    <w:rsid w:val="63776804"/>
    <w:rsid w:val="63870498"/>
    <w:rsid w:val="638B6757"/>
    <w:rsid w:val="638E4C30"/>
    <w:rsid w:val="639E2905"/>
    <w:rsid w:val="63AB687C"/>
    <w:rsid w:val="63AD2418"/>
    <w:rsid w:val="63AD76EF"/>
    <w:rsid w:val="63CA339B"/>
    <w:rsid w:val="63F65FBD"/>
    <w:rsid w:val="641A755E"/>
    <w:rsid w:val="642F4426"/>
    <w:rsid w:val="643323DD"/>
    <w:rsid w:val="64381701"/>
    <w:rsid w:val="64450CE9"/>
    <w:rsid w:val="644A7E43"/>
    <w:rsid w:val="646D60D2"/>
    <w:rsid w:val="646F5129"/>
    <w:rsid w:val="64846D27"/>
    <w:rsid w:val="64877C97"/>
    <w:rsid w:val="64A175F9"/>
    <w:rsid w:val="64B86324"/>
    <w:rsid w:val="64BD6E2A"/>
    <w:rsid w:val="64C20E5B"/>
    <w:rsid w:val="64C67E05"/>
    <w:rsid w:val="64CF0127"/>
    <w:rsid w:val="64DA2E60"/>
    <w:rsid w:val="64DC230E"/>
    <w:rsid w:val="64E4512C"/>
    <w:rsid w:val="64EF362D"/>
    <w:rsid w:val="64F472AA"/>
    <w:rsid w:val="65047D30"/>
    <w:rsid w:val="650D4276"/>
    <w:rsid w:val="650E3FA6"/>
    <w:rsid w:val="651E7FDE"/>
    <w:rsid w:val="65283AF6"/>
    <w:rsid w:val="652C63CF"/>
    <w:rsid w:val="65404DA2"/>
    <w:rsid w:val="65440D8C"/>
    <w:rsid w:val="654C3728"/>
    <w:rsid w:val="654C7BEB"/>
    <w:rsid w:val="65530E8F"/>
    <w:rsid w:val="65656A70"/>
    <w:rsid w:val="658C7FE7"/>
    <w:rsid w:val="658D79B1"/>
    <w:rsid w:val="658F5C47"/>
    <w:rsid w:val="659B022A"/>
    <w:rsid w:val="65B31DC1"/>
    <w:rsid w:val="65CC1E3C"/>
    <w:rsid w:val="65E06B45"/>
    <w:rsid w:val="65E24AD3"/>
    <w:rsid w:val="65FE712B"/>
    <w:rsid w:val="65FF6A0B"/>
    <w:rsid w:val="660D6F99"/>
    <w:rsid w:val="66374AE6"/>
    <w:rsid w:val="663F54F7"/>
    <w:rsid w:val="66442840"/>
    <w:rsid w:val="664C6704"/>
    <w:rsid w:val="664E5351"/>
    <w:rsid w:val="66503496"/>
    <w:rsid w:val="66520FBC"/>
    <w:rsid w:val="66595BE2"/>
    <w:rsid w:val="66613280"/>
    <w:rsid w:val="6686712D"/>
    <w:rsid w:val="668B29C5"/>
    <w:rsid w:val="668B6FEC"/>
    <w:rsid w:val="66AE3981"/>
    <w:rsid w:val="66E83943"/>
    <w:rsid w:val="66ED6329"/>
    <w:rsid w:val="66EF6874"/>
    <w:rsid w:val="66F531AA"/>
    <w:rsid w:val="66F608B5"/>
    <w:rsid w:val="66FA66F1"/>
    <w:rsid w:val="6721791E"/>
    <w:rsid w:val="67271ECB"/>
    <w:rsid w:val="672A658C"/>
    <w:rsid w:val="672A6B2F"/>
    <w:rsid w:val="67483420"/>
    <w:rsid w:val="6777089F"/>
    <w:rsid w:val="67AB0BF9"/>
    <w:rsid w:val="67C76B90"/>
    <w:rsid w:val="67D475FA"/>
    <w:rsid w:val="67FB439B"/>
    <w:rsid w:val="67FF4466"/>
    <w:rsid w:val="68011EEA"/>
    <w:rsid w:val="6817492F"/>
    <w:rsid w:val="68733E51"/>
    <w:rsid w:val="6875441B"/>
    <w:rsid w:val="68920D3E"/>
    <w:rsid w:val="68AD16E1"/>
    <w:rsid w:val="68B76196"/>
    <w:rsid w:val="68B975B5"/>
    <w:rsid w:val="68BA4B9D"/>
    <w:rsid w:val="68DB44E9"/>
    <w:rsid w:val="68E44CD3"/>
    <w:rsid w:val="6915360B"/>
    <w:rsid w:val="6923160C"/>
    <w:rsid w:val="692F3612"/>
    <w:rsid w:val="692F4C62"/>
    <w:rsid w:val="69484031"/>
    <w:rsid w:val="694C01BA"/>
    <w:rsid w:val="694F7CAA"/>
    <w:rsid w:val="69562DE6"/>
    <w:rsid w:val="695D0516"/>
    <w:rsid w:val="69692F41"/>
    <w:rsid w:val="6976615B"/>
    <w:rsid w:val="698A554F"/>
    <w:rsid w:val="699A4896"/>
    <w:rsid w:val="69A47AFA"/>
    <w:rsid w:val="69A76CE5"/>
    <w:rsid w:val="69A80ADF"/>
    <w:rsid w:val="69B43BB5"/>
    <w:rsid w:val="69B766F1"/>
    <w:rsid w:val="69BB5619"/>
    <w:rsid w:val="69C14A40"/>
    <w:rsid w:val="69DB32EB"/>
    <w:rsid w:val="69F51C80"/>
    <w:rsid w:val="69F6289F"/>
    <w:rsid w:val="6A09181B"/>
    <w:rsid w:val="6A201236"/>
    <w:rsid w:val="6A340B46"/>
    <w:rsid w:val="6A3B1032"/>
    <w:rsid w:val="6A3B678C"/>
    <w:rsid w:val="6A3C2FAD"/>
    <w:rsid w:val="6A4A5CE9"/>
    <w:rsid w:val="6A4C25E5"/>
    <w:rsid w:val="6A515F00"/>
    <w:rsid w:val="6A55183E"/>
    <w:rsid w:val="6A6E3D5C"/>
    <w:rsid w:val="6A7018AB"/>
    <w:rsid w:val="6A7A34D3"/>
    <w:rsid w:val="6A7A37AF"/>
    <w:rsid w:val="6A7C3025"/>
    <w:rsid w:val="6A8678A3"/>
    <w:rsid w:val="6AA0506A"/>
    <w:rsid w:val="6AA565DC"/>
    <w:rsid w:val="6AAF6C52"/>
    <w:rsid w:val="6AB737B1"/>
    <w:rsid w:val="6ADD5CBB"/>
    <w:rsid w:val="6AF15144"/>
    <w:rsid w:val="6B0F0993"/>
    <w:rsid w:val="6B2240A0"/>
    <w:rsid w:val="6B34492E"/>
    <w:rsid w:val="6B42254D"/>
    <w:rsid w:val="6B5A7CCF"/>
    <w:rsid w:val="6B804D34"/>
    <w:rsid w:val="6B922CD6"/>
    <w:rsid w:val="6B9532DD"/>
    <w:rsid w:val="6B953514"/>
    <w:rsid w:val="6B97756C"/>
    <w:rsid w:val="6B995E05"/>
    <w:rsid w:val="6B9C79D2"/>
    <w:rsid w:val="6B9D4CFC"/>
    <w:rsid w:val="6BA44E6B"/>
    <w:rsid w:val="6BBD2685"/>
    <w:rsid w:val="6BFC2B36"/>
    <w:rsid w:val="6C0356D1"/>
    <w:rsid w:val="6C0861E5"/>
    <w:rsid w:val="6C7F32C4"/>
    <w:rsid w:val="6C932B17"/>
    <w:rsid w:val="6C94629F"/>
    <w:rsid w:val="6CA15780"/>
    <w:rsid w:val="6CA51F03"/>
    <w:rsid w:val="6CD965DD"/>
    <w:rsid w:val="6CE564FB"/>
    <w:rsid w:val="6CF56B79"/>
    <w:rsid w:val="6CFD0CB4"/>
    <w:rsid w:val="6D294292"/>
    <w:rsid w:val="6D30394E"/>
    <w:rsid w:val="6D407B93"/>
    <w:rsid w:val="6D527549"/>
    <w:rsid w:val="6D676C75"/>
    <w:rsid w:val="6D7A5E4E"/>
    <w:rsid w:val="6D8B5E4D"/>
    <w:rsid w:val="6DA51AA2"/>
    <w:rsid w:val="6DA90B58"/>
    <w:rsid w:val="6DB0119C"/>
    <w:rsid w:val="6DBC0C33"/>
    <w:rsid w:val="6DC34E36"/>
    <w:rsid w:val="6DC7329C"/>
    <w:rsid w:val="6DC94F76"/>
    <w:rsid w:val="6DD8597B"/>
    <w:rsid w:val="6DE97103"/>
    <w:rsid w:val="6DED3E1E"/>
    <w:rsid w:val="6DFC0BE4"/>
    <w:rsid w:val="6E057977"/>
    <w:rsid w:val="6E1A25DF"/>
    <w:rsid w:val="6E2C0D7B"/>
    <w:rsid w:val="6E2C2401"/>
    <w:rsid w:val="6E3B50EF"/>
    <w:rsid w:val="6E423939"/>
    <w:rsid w:val="6E4E2C42"/>
    <w:rsid w:val="6E5227E6"/>
    <w:rsid w:val="6E680A74"/>
    <w:rsid w:val="6E9C4620"/>
    <w:rsid w:val="6EAE5F1D"/>
    <w:rsid w:val="6EBC6A2B"/>
    <w:rsid w:val="6ED50EF9"/>
    <w:rsid w:val="6EE82732"/>
    <w:rsid w:val="6EEB2B8B"/>
    <w:rsid w:val="6EF10C0B"/>
    <w:rsid w:val="6EFA70F5"/>
    <w:rsid w:val="6F174DC6"/>
    <w:rsid w:val="6F1C3A79"/>
    <w:rsid w:val="6F246A6B"/>
    <w:rsid w:val="6F266E28"/>
    <w:rsid w:val="6F392F97"/>
    <w:rsid w:val="6F457B85"/>
    <w:rsid w:val="6F501AC0"/>
    <w:rsid w:val="6F5959E9"/>
    <w:rsid w:val="6F654AB4"/>
    <w:rsid w:val="6F7264A0"/>
    <w:rsid w:val="6F7715DE"/>
    <w:rsid w:val="6F7D4D72"/>
    <w:rsid w:val="6F7E1F74"/>
    <w:rsid w:val="6F935345"/>
    <w:rsid w:val="6F9B47D1"/>
    <w:rsid w:val="6F9E54E7"/>
    <w:rsid w:val="6FB12692"/>
    <w:rsid w:val="6FB668C4"/>
    <w:rsid w:val="6FBF6389"/>
    <w:rsid w:val="6FC753E3"/>
    <w:rsid w:val="6FEB653F"/>
    <w:rsid w:val="6FF45414"/>
    <w:rsid w:val="6FF972BA"/>
    <w:rsid w:val="700A4635"/>
    <w:rsid w:val="701D01BA"/>
    <w:rsid w:val="704A4E26"/>
    <w:rsid w:val="705E3594"/>
    <w:rsid w:val="706D47F2"/>
    <w:rsid w:val="70904E30"/>
    <w:rsid w:val="70CC3C5C"/>
    <w:rsid w:val="70D13186"/>
    <w:rsid w:val="70DA79DB"/>
    <w:rsid w:val="70E66DDE"/>
    <w:rsid w:val="710708CC"/>
    <w:rsid w:val="710D33C2"/>
    <w:rsid w:val="710E6DC5"/>
    <w:rsid w:val="71201E7A"/>
    <w:rsid w:val="713906D7"/>
    <w:rsid w:val="713944E1"/>
    <w:rsid w:val="71A74D64"/>
    <w:rsid w:val="71B11E98"/>
    <w:rsid w:val="71B625C8"/>
    <w:rsid w:val="71BB2380"/>
    <w:rsid w:val="71D04CEB"/>
    <w:rsid w:val="71D4011E"/>
    <w:rsid w:val="71EE678E"/>
    <w:rsid w:val="71EF21D9"/>
    <w:rsid w:val="71F83650"/>
    <w:rsid w:val="720E20E5"/>
    <w:rsid w:val="721D22C8"/>
    <w:rsid w:val="72761ACE"/>
    <w:rsid w:val="729C5D0C"/>
    <w:rsid w:val="72A80664"/>
    <w:rsid w:val="72A93F87"/>
    <w:rsid w:val="72B33B48"/>
    <w:rsid w:val="72CC236B"/>
    <w:rsid w:val="730205CB"/>
    <w:rsid w:val="73047594"/>
    <w:rsid w:val="730C7017"/>
    <w:rsid w:val="732032AC"/>
    <w:rsid w:val="73253CEE"/>
    <w:rsid w:val="73282EAD"/>
    <w:rsid w:val="736B0D9C"/>
    <w:rsid w:val="7372081D"/>
    <w:rsid w:val="73B65107"/>
    <w:rsid w:val="73E96CCD"/>
    <w:rsid w:val="73E9784B"/>
    <w:rsid w:val="73F0718E"/>
    <w:rsid w:val="73FC6321"/>
    <w:rsid w:val="74070CA0"/>
    <w:rsid w:val="740A2040"/>
    <w:rsid w:val="746C01C5"/>
    <w:rsid w:val="747A3300"/>
    <w:rsid w:val="7481099D"/>
    <w:rsid w:val="74856120"/>
    <w:rsid w:val="748A4B39"/>
    <w:rsid w:val="748E118B"/>
    <w:rsid w:val="74B57A32"/>
    <w:rsid w:val="74BD6488"/>
    <w:rsid w:val="74D64864"/>
    <w:rsid w:val="74E16D8B"/>
    <w:rsid w:val="74E87DC9"/>
    <w:rsid w:val="75151909"/>
    <w:rsid w:val="751B76E8"/>
    <w:rsid w:val="751C632F"/>
    <w:rsid w:val="75267B11"/>
    <w:rsid w:val="755D712B"/>
    <w:rsid w:val="75871A0B"/>
    <w:rsid w:val="75896036"/>
    <w:rsid w:val="758F1B5A"/>
    <w:rsid w:val="75991092"/>
    <w:rsid w:val="759B5E27"/>
    <w:rsid w:val="75C04FAC"/>
    <w:rsid w:val="75C24137"/>
    <w:rsid w:val="75D03F20"/>
    <w:rsid w:val="75E623C5"/>
    <w:rsid w:val="75F83F2A"/>
    <w:rsid w:val="761335AB"/>
    <w:rsid w:val="76157B85"/>
    <w:rsid w:val="76373B59"/>
    <w:rsid w:val="764C17F9"/>
    <w:rsid w:val="765B6B67"/>
    <w:rsid w:val="765F6F55"/>
    <w:rsid w:val="76695258"/>
    <w:rsid w:val="766E4BAE"/>
    <w:rsid w:val="767945B8"/>
    <w:rsid w:val="769413F2"/>
    <w:rsid w:val="769B5423"/>
    <w:rsid w:val="76AD49AC"/>
    <w:rsid w:val="76B356B1"/>
    <w:rsid w:val="76BB4F39"/>
    <w:rsid w:val="76D600D5"/>
    <w:rsid w:val="76FF216B"/>
    <w:rsid w:val="772D2EED"/>
    <w:rsid w:val="77364257"/>
    <w:rsid w:val="774D2CB6"/>
    <w:rsid w:val="774D70B5"/>
    <w:rsid w:val="77711DFB"/>
    <w:rsid w:val="77791211"/>
    <w:rsid w:val="778B06B0"/>
    <w:rsid w:val="77A870F8"/>
    <w:rsid w:val="77C853D2"/>
    <w:rsid w:val="77CB6284"/>
    <w:rsid w:val="77D54C59"/>
    <w:rsid w:val="77D9063B"/>
    <w:rsid w:val="78474B5C"/>
    <w:rsid w:val="786A240A"/>
    <w:rsid w:val="78782D79"/>
    <w:rsid w:val="78A82F32"/>
    <w:rsid w:val="78B94D42"/>
    <w:rsid w:val="78FC7191"/>
    <w:rsid w:val="79072005"/>
    <w:rsid w:val="790F66E7"/>
    <w:rsid w:val="791E54E8"/>
    <w:rsid w:val="796558AF"/>
    <w:rsid w:val="79714322"/>
    <w:rsid w:val="79925588"/>
    <w:rsid w:val="79B90752"/>
    <w:rsid w:val="79E84AA0"/>
    <w:rsid w:val="79F253C4"/>
    <w:rsid w:val="79F34BAE"/>
    <w:rsid w:val="7A0D2E4B"/>
    <w:rsid w:val="7A263D9D"/>
    <w:rsid w:val="7A2D254D"/>
    <w:rsid w:val="7A377F78"/>
    <w:rsid w:val="7A3C22D1"/>
    <w:rsid w:val="7A4B1DC7"/>
    <w:rsid w:val="7A6E4C98"/>
    <w:rsid w:val="7A7650C1"/>
    <w:rsid w:val="7A8C352B"/>
    <w:rsid w:val="7A9279F6"/>
    <w:rsid w:val="7AC22E37"/>
    <w:rsid w:val="7AD803EA"/>
    <w:rsid w:val="7AF97A75"/>
    <w:rsid w:val="7B0574E9"/>
    <w:rsid w:val="7B091377"/>
    <w:rsid w:val="7B367327"/>
    <w:rsid w:val="7B4B6F94"/>
    <w:rsid w:val="7B5E2AA7"/>
    <w:rsid w:val="7B71168E"/>
    <w:rsid w:val="7B9F046E"/>
    <w:rsid w:val="7BA571A1"/>
    <w:rsid w:val="7BA84BDE"/>
    <w:rsid w:val="7BDA4C3E"/>
    <w:rsid w:val="7BED0D99"/>
    <w:rsid w:val="7BF7759F"/>
    <w:rsid w:val="7C0E5BCD"/>
    <w:rsid w:val="7C1B4A3B"/>
    <w:rsid w:val="7C211D7D"/>
    <w:rsid w:val="7C2E45FA"/>
    <w:rsid w:val="7C366D83"/>
    <w:rsid w:val="7C665AD8"/>
    <w:rsid w:val="7C8B7927"/>
    <w:rsid w:val="7C943EFA"/>
    <w:rsid w:val="7CA44559"/>
    <w:rsid w:val="7CAE35FB"/>
    <w:rsid w:val="7CB163F4"/>
    <w:rsid w:val="7CB84091"/>
    <w:rsid w:val="7CC6207B"/>
    <w:rsid w:val="7CD4053F"/>
    <w:rsid w:val="7CE876FE"/>
    <w:rsid w:val="7CE95539"/>
    <w:rsid w:val="7CFD457B"/>
    <w:rsid w:val="7D2240D7"/>
    <w:rsid w:val="7D475241"/>
    <w:rsid w:val="7D650780"/>
    <w:rsid w:val="7D796EE5"/>
    <w:rsid w:val="7D80447E"/>
    <w:rsid w:val="7D947886"/>
    <w:rsid w:val="7D99028E"/>
    <w:rsid w:val="7DAB3A5B"/>
    <w:rsid w:val="7DBD1010"/>
    <w:rsid w:val="7DDB60E4"/>
    <w:rsid w:val="7DE06CCB"/>
    <w:rsid w:val="7DE91C2E"/>
    <w:rsid w:val="7DFA36D3"/>
    <w:rsid w:val="7E0247C5"/>
    <w:rsid w:val="7E096221"/>
    <w:rsid w:val="7E2146D8"/>
    <w:rsid w:val="7E3D10ED"/>
    <w:rsid w:val="7E4B2A52"/>
    <w:rsid w:val="7E5C2FAF"/>
    <w:rsid w:val="7E73175E"/>
    <w:rsid w:val="7E74390A"/>
    <w:rsid w:val="7EA64FD4"/>
    <w:rsid w:val="7EA652E1"/>
    <w:rsid w:val="7EAD7C73"/>
    <w:rsid w:val="7EAF501B"/>
    <w:rsid w:val="7EC62B4F"/>
    <w:rsid w:val="7EC8404B"/>
    <w:rsid w:val="7ED4259F"/>
    <w:rsid w:val="7ED656C1"/>
    <w:rsid w:val="7EF11A57"/>
    <w:rsid w:val="7F052E8D"/>
    <w:rsid w:val="7F1055D7"/>
    <w:rsid w:val="7F343772"/>
    <w:rsid w:val="7F512BDD"/>
    <w:rsid w:val="7F5B6C76"/>
    <w:rsid w:val="7F985DEA"/>
    <w:rsid w:val="7FA01DE8"/>
    <w:rsid w:val="7FA254D6"/>
    <w:rsid w:val="7FAA6926"/>
    <w:rsid w:val="7FD30895"/>
    <w:rsid w:val="7FEA0ADA"/>
    <w:rsid w:val="7FEE1B73"/>
    <w:rsid w:val="7FEE3BCC"/>
    <w:rsid w:val="7FF01447"/>
    <w:rsid w:val="7FF13E85"/>
    <w:rsid w:val="7FF76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link w:val="24"/>
    <w:autoRedefine/>
    <w:qFormat/>
    <w:uiPriority w:val="0"/>
    <w:pPr>
      <w:keepNext/>
      <w:keepLines/>
      <w:numPr>
        <w:ilvl w:val="0"/>
        <w:numId w:val="2"/>
      </w:numPr>
      <w:spacing w:line="360" w:lineRule="auto"/>
      <w:outlineLvl w:val="1"/>
    </w:pPr>
    <w:rPr>
      <w:rFonts w:ascii="Arial" w:hAnsi="Arial"/>
      <w:b/>
      <w:bCs/>
      <w:sz w:val="28"/>
      <w:szCs w:val="32"/>
    </w:rPr>
  </w:style>
  <w:style w:type="paragraph" w:styleId="4">
    <w:name w:val="heading 3"/>
    <w:basedOn w:val="1"/>
    <w:next w:val="1"/>
    <w:qFormat/>
    <w:uiPriority w:val="0"/>
    <w:pPr>
      <w:keepNext/>
      <w:keepLines/>
      <w:spacing w:before="120" w:after="120" w:line="360" w:lineRule="auto"/>
      <w:jc w:val="left"/>
      <w:outlineLvl w:val="2"/>
    </w:pPr>
    <w:rPr>
      <w:rFonts w:ascii="黑体" w:hAnsi="黑体" w:eastAsia="黑体"/>
      <w:bCs/>
      <w:sz w:val="24"/>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rPr>
      <w:szCs w:val="20"/>
    </w:rPr>
  </w:style>
  <w:style w:type="paragraph" w:styleId="6">
    <w:name w:val="Body Text"/>
    <w:basedOn w:val="1"/>
    <w:autoRedefine/>
    <w:qFormat/>
    <w:uiPriority w:val="0"/>
    <w:pPr>
      <w:spacing w:after="120"/>
    </w:pPr>
  </w:style>
  <w:style w:type="paragraph" w:styleId="7">
    <w:name w:val="Body Text Indent"/>
    <w:basedOn w:val="1"/>
    <w:next w:val="8"/>
    <w:autoRedefine/>
    <w:qFormat/>
    <w:uiPriority w:val="0"/>
    <w:pPr>
      <w:spacing w:after="120"/>
      <w:ind w:left="420" w:leftChars="200"/>
    </w:pPr>
  </w:style>
  <w:style w:type="paragraph" w:styleId="8">
    <w:name w:val="envelope return"/>
    <w:basedOn w:val="1"/>
    <w:autoRedefine/>
    <w:unhideWhenUsed/>
    <w:qFormat/>
    <w:uiPriority w:val="99"/>
    <w:pPr>
      <w:snapToGrid w:val="0"/>
      <w:ind w:firstLine="200"/>
    </w:pPr>
    <w:rPr>
      <w:rFonts w:ascii="Arial" w:hAnsi="Arial" w:cs="Arial"/>
      <w:szCs w:val="20"/>
    </w:rPr>
  </w:style>
  <w:style w:type="paragraph" w:styleId="9">
    <w:name w:val="footer"/>
    <w:basedOn w:val="1"/>
    <w:autoRedefine/>
    <w:qFormat/>
    <w:uiPriority w:val="99"/>
    <w:pPr>
      <w:tabs>
        <w:tab w:val="center" w:pos="4153"/>
        <w:tab w:val="right" w:pos="8306"/>
      </w:tabs>
      <w:snapToGrid w:val="0"/>
      <w:jc w:val="left"/>
    </w:pPr>
    <w:rPr>
      <w:sz w:val="18"/>
      <w:szCs w:val="18"/>
    </w:rPr>
  </w:style>
  <w:style w:type="paragraph" w:styleId="10">
    <w:name w:val="header"/>
    <w:basedOn w:val="1"/>
    <w:link w:val="36"/>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qFormat/>
    <w:uiPriority w:val="99"/>
    <w:pPr>
      <w:spacing w:beforeAutospacing="1" w:afterAutospacing="1"/>
      <w:jc w:val="left"/>
    </w:pPr>
    <w:rPr>
      <w:rFonts w:cs="Times New Roman"/>
      <w:kern w:val="0"/>
      <w:sz w:val="24"/>
    </w:rPr>
  </w:style>
  <w:style w:type="paragraph" w:styleId="12">
    <w:name w:val="Title"/>
    <w:basedOn w:val="1"/>
    <w:next w:val="1"/>
    <w:autoRedefine/>
    <w:qFormat/>
    <w:uiPriority w:val="0"/>
    <w:pPr>
      <w:jc w:val="center"/>
    </w:pPr>
    <w:rPr>
      <w:sz w:val="30"/>
      <w:szCs w:val="30"/>
    </w:rPr>
  </w:style>
  <w:style w:type="paragraph" w:styleId="13">
    <w:name w:val="Body Text First Indent 2"/>
    <w:basedOn w:val="7"/>
    <w:next w:val="6"/>
    <w:autoRedefine/>
    <w:unhideWhenUsed/>
    <w:qFormat/>
    <w:uiPriority w:val="99"/>
    <w:pPr>
      <w:ind w:firstLine="420" w:firstLineChars="200"/>
    </w:pPr>
    <w:rPr>
      <w:szCs w:val="20"/>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22"/>
    <w:rPr>
      <w:b/>
    </w:rPr>
  </w:style>
  <w:style w:type="character" w:styleId="18">
    <w:name w:val="page number"/>
    <w:basedOn w:val="16"/>
    <w:autoRedefine/>
    <w:qFormat/>
    <w:uiPriority w:val="0"/>
  </w:style>
  <w:style w:type="character" w:styleId="19">
    <w:name w:val="FollowedHyperlink"/>
    <w:basedOn w:val="16"/>
    <w:autoRedefine/>
    <w:qFormat/>
    <w:uiPriority w:val="0"/>
    <w:rPr>
      <w:rFonts w:hint="eastAsia" w:ascii="微软雅黑" w:hAnsi="微软雅黑" w:eastAsia="微软雅黑" w:cs="微软雅黑"/>
      <w:color w:val="323232"/>
      <w:sz w:val="21"/>
      <w:szCs w:val="21"/>
      <w:u w:val="none"/>
    </w:rPr>
  </w:style>
  <w:style w:type="character" w:styleId="20">
    <w:name w:val="Hyperlink"/>
    <w:basedOn w:val="16"/>
    <w:autoRedefine/>
    <w:qFormat/>
    <w:uiPriority w:val="0"/>
    <w:rPr>
      <w:color w:val="0000FF"/>
      <w:u w:val="single"/>
    </w:rPr>
  </w:style>
  <w:style w:type="paragraph" w:customStyle="1" w:styleId="21">
    <w:name w:val="WPSOffice手动目录 1"/>
    <w:autoRedefine/>
    <w:qFormat/>
    <w:uiPriority w:val="0"/>
    <w:rPr>
      <w:rFonts w:asciiTheme="minorHAnsi" w:hAnsiTheme="minorHAnsi" w:eastAsiaTheme="minorEastAsia" w:cstheme="minorBidi"/>
      <w:lang w:val="en-US" w:eastAsia="zh-CN" w:bidi="ar-SA"/>
    </w:rPr>
  </w:style>
  <w:style w:type="paragraph" w:customStyle="1" w:styleId="22">
    <w:name w:val="Default"/>
    <w:autoRedefine/>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3">
    <w:name w:val="正文 题目"/>
    <w:basedOn w:val="1"/>
    <w:autoRedefine/>
    <w:qFormat/>
    <w:uiPriority w:val="0"/>
    <w:pPr>
      <w:jc w:val="center"/>
    </w:pPr>
    <w:rPr>
      <w:rFonts w:ascii="黑体" w:hAnsi="黑体" w:eastAsia="黑体"/>
      <w:sz w:val="28"/>
    </w:rPr>
  </w:style>
  <w:style w:type="character" w:customStyle="1" w:styleId="24">
    <w:name w:val="标题 2 字符"/>
    <w:link w:val="3"/>
    <w:autoRedefine/>
    <w:qFormat/>
    <w:uiPriority w:val="0"/>
    <w:rPr>
      <w:rFonts w:ascii="Arial" w:hAnsi="Arial"/>
      <w:b/>
      <w:bCs/>
      <w:sz w:val="28"/>
      <w:szCs w:val="32"/>
    </w:rPr>
  </w:style>
  <w:style w:type="character" w:customStyle="1" w:styleId="25">
    <w:name w:val="font01"/>
    <w:basedOn w:val="16"/>
    <w:autoRedefine/>
    <w:qFormat/>
    <w:uiPriority w:val="0"/>
    <w:rPr>
      <w:rFonts w:hint="eastAsia" w:ascii="宋体" w:hAnsi="宋体" w:eastAsia="宋体" w:cs="宋体"/>
      <w:color w:val="000000"/>
      <w:sz w:val="20"/>
      <w:szCs w:val="20"/>
      <w:u w:val="none"/>
    </w:rPr>
  </w:style>
  <w:style w:type="character" w:customStyle="1" w:styleId="26">
    <w:name w:val="font31"/>
    <w:basedOn w:val="16"/>
    <w:autoRedefine/>
    <w:qFormat/>
    <w:uiPriority w:val="0"/>
    <w:rPr>
      <w:rFonts w:hint="eastAsia" w:ascii="宋体" w:hAnsi="宋体" w:eastAsia="宋体" w:cs="宋体"/>
      <w:color w:val="000000"/>
      <w:sz w:val="24"/>
      <w:szCs w:val="24"/>
      <w:u w:val="none"/>
    </w:rPr>
  </w:style>
  <w:style w:type="character" w:customStyle="1" w:styleId="27">
    <w:name w:val="font61"/>
    <w:basedOn w:val="16"/>
    <w:autoRedefine/>
    <w:qFormat/>
    <w:uiPriority w:val="0"/>
    <w:rPr>
      <w:rFonts w:hint="default" w:ascii="Times New Roman" w:hAnsi="Times New Roman" w:cs="Times New Roman"/>
      <w:color w:val="000000"/>
      <w:sz w:val="24"/>
      <w:szCs w:val="24"/>
      <w:u w:val="none"/>
    </w:rPr>
  </w:style>
  <w:style w:type="character" w:customStyle="1" w:styleId="28">
    <w:name w:val="font11"/>
    <w:basedOn w:val="16"/>
    <w:autoRedefine/>
    <w:qFormat/>
    <w:uiPriority w:val="0"/>
    <w:rPr>
      <w:rFonts w:hint="eastAsia" w:ascii="宋体" w:hAnsi="宋体" w:eastAsia="宋体" w:cs="宋体"/>
      <w:color w:val="000000"/>
      <w:sz w:val="24"/>
      <w:szCs w:val="24"/>
      <w:u w:val="none"/>
    </w:rPr>
  </w:style>
  <w:style w:type="character" w:customStyle="1" w:styleId="29">
    <w:name w:val="font51"/>
    <w:basedOn w:val="16"/>
    <w:autoRedefine/>
    <w:qFormat/>
    <w:uiPriority w:val="0"/>
    <w:rPr>
      <w:rFonts w:ascii="Calibri" w:hAnsi="Calibri" w:cs="Calibri"/>
      <w:color w:val="000000"/>
      <w:sz w:val="24"/>
      <w:szCs w:val="24"/>
      <w:u w:val="none"/>
    </w:rPr>
  </w:style>
  <w:style w:type="character" w:customStyle="1" w:styleId="30">
    <w:name w:val="font21"/>
    <w:basedOn w:val="16"/>
    <w:autoRedefine/>
    <w:qFormat/>
    <w:uiPriority w:val="0"/>
    <w:rPr>
      <w:rFonts w:hint="eastAsia" w:ascii="宋体" w:hAnsi="宋体" w:eastAsia="宋体" w:cs="宋体"/>
      <w:b/>
      <w:bCs/>
      <w:color w:val="000000"/>
      <w:sz w:val="20"/>
      <w:szCs w:val="20"/>
      <w:u w:val="none"/>
    </w:rPr>
  </w:style>
  <w:style w:type="character" w:customStyle="1" w:styleId="31">
    <w:name w:val="font81"/>
    <w:basedOn w:val="16"/>
    <w:autoRedefine/>
    <w:qFormat/>
    <w:uiPriority w:val="0"/>
    <w:rPr>
      <w:rFonts w:hint="default" w:ascii="Times New Roman" w:hAnsi="Times New Roman" w:cs="Times New Roman"/>
      <w:b/>
      <w:bCs/>
      <w:color w:val="000000"/>
      <w:sz w:val="20"/>
      <w:szCs w:val="20"/>
      <w:u w:val="none"/>
    </w:rPr>
  </w:style>
  <w:style w:type="character" w:customStyle="1" w:styleId="32">
    <w:name w:val="font41"/>
    <w:basedOn w:val="16"/>
    <w:autoRedefine/>
    <w:qFormat/>
    <w:uiPriority w:val="0"/>
    <w:rPr>
      <w:rFonts w:hint="eastAsia" w:ascii="宋体" w:hAnsi="宋体" w:eastAsia="宋体" w:cs="宋体"/>
      <w:color w:val="000000"/>
      <w:sz w:val="20"/>
      <w:szCs w:val="20"/>
      <w:u w:val="none"/>
    </w:rPr>
  </w:style>
  <w:style w:type="character" w:customStyle="1" w:styleId="33">
    <w:name w:val="font71"/>
    <w:basedOn w:val="16"/>
    <w:autoRedefine/>
    <w:qFormat/>
    <w:uiPriority w:val="0"/>
    <w:rPr>
      <w:rFonts w:hint="eastAsia" w:ascii="宋体" w:hAnsi="宋体" w:eastAsia="宋体" w:cs="宋体"/>
      <w:b/>
      <w:bCs/>
      <w:color w:val="000000"/>
      <w:sz w:val="20"/>
      <w:szCs w:val="20"/>
      <w:u w:val="none"/>
      <w:vertAlign w:val="superscript"/>
    </w:rPr>
  </w:style>
  <w:style w:type="character" w:customStyle="1" w:styleId="34">
    <w:name w:val="hover52"/>
    <w:basedOn w:val="16"/>
    <w:autoRedefine/>
    <w:qFormat/>
    <w:uiPriority w:val="0"/>
    <w:rPr>
      <w:color w:val="D61521"/>
    </w:rPr>
  </w:style>
  <w:style w:type="paragraph" w:customStyle="1" w:styleId="35">
    <w:name w:val="Table Paragraph"/>
    <w:basedOn w:val="1"/>
    <w:autoRedefine/>
    <w:qFormat/>
    <w:uiPriority w:val="1"/>
    <w:rPr>
      <w:rFonts w:ascii="宋体" w:hAnsi="宋体" w:eastAsia="宋体" w:cs="宋体"/>
      <w:lang w:val="zh-CN" w:bidi="zh-CN"/>
    </w:rPr>
  </w:style>
  <w:style w:type="character" w:customStyle="1" w:styleId="36">
    <w:name w:val="页眉 字符"/>
    <w:basedOn w:val="16"/>
    <w:link w:val="10"/>
    <w:autoRedefine/>
    <w:qFormat/>
    <w:uiPriority w:val="0"/>
    <w:rPr>
      <w:rFonts w:asciiTheme="minorHAnsi" w:hAnsiTheme="minorHAnsi" w:eastAsiaTheme="minorEastAsia" w:cstheme="minorBidi"/>
      <w:kern w:val="2"/>
      <w:sz w:val="18"/>
      <w:szCs w:val="18"/>
    </w:rPr>
  </w:style>
  <w:style w:type="paragraph" w:styleId="37">
    <w:name w:val="List Paragraph"/>
    <w:basedOn w:val="1"/>
    <w:autoRedefine/>
    <w:unhideWhenUsed/>
    <w:qFormat/>
    <w:uiPriority w:val="99"/>
    <w:pPr>
      <w:ind w:firstLine="420" w:firstLineChars="200"/>
    </w:pPr>
  </w:style>
  <w:style w:type="paragraph" w:customStyle="1" w:styleId="38">
    <w:name w:val="正文1"/>
    <w:basedOn w:val="1"/>
    <w:autoRedefine/>
    <w:qFormat/>
    <w:uiPriority w:val="0"/>
    <w:pPr>
      <w:spacing w:line="400" w:lineRule="exact"/>
    </w:pPr>
    <w:rPr>
      <w:rFonts w:ascii="宋体" w:hAnsi="宋体" w:cs="宋体"/>
      <w:b/>
      <w:bCs/>
      <w:color w:val="000000"/>
      <w:kern w:val="0"/>
      <w:szCs w:val="21"/>
    </w:rPr>
  </w:style>
  <w:style w:type="character" w:customStyle="1" w:styleId="39">
    <w:name w:val="NormalCharacter"/>
    <w:autoRedefine/>
    <w:semiHidden/>
    <w:qFormat/>
    <w:uiPriority w:val="0"/>
  </w:style>
  <w:style w:type="table" w:customStyle="1" w:styleId="40">
    <w:name w:val="Table Normal"/>
    <w:autoRedefine/>
    <w:unhideWhenUsed/>
    <w:qFormat/>
    <w:uiPriority w:val="0"/>
    <w:rPr>
      <w:rFonts w:ascii="Arial" w:hAnsi="Arial" w:cs="Arial"/>
    </w:rPr>
    <w:tblPr>
      <w:tblCellMar>
        <w:top w:w="0" w:type="dxa"/>
        <w:left w:w="0" w:type="dxa"/>
        <w:bottom w:w="0" w:type="dxa"/>
        <w:right w:w="0" w:type="dxa"/>
      </w:tblCellMar>
    </w:tblPr>
  </w:style>
  <w:style w:type="paragraph" w:customStyle="1" w:styleId="41">
    <w:name w:val="响应正文"/>
    <w:autoRedefine/>
    <w:qFormat/>
    <w:uiPriority w:val="0"/>
    <w:pPr>
      <w:widowControl w:val="0"/>
      <w:spacing w:line="360" w:lineRule="auto"/>
      <w:ind w:firstLine="640" w:firstLineChars="200"/>
      <w:jc w:val="both"/>
    </w:pPr>
    <w:rPr>
      <w:rFonts w:ascii="Times New Roman" w:hAnsi="Times New Roman"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846AA"/>
    <w:rsid w:val="0000287D"/>
    <w:rsid w:val="001D3916"/>
    <w:rsid w:val="001E3DB8"/>
    <w:rsid w:val="0020132E"/>
    <w:rsid w:val="0025476C"/>
    <w:rsid w:val="002846AA"/>
    <w:rsid w:val="0028688D"/>
    <w:rsid w:val="002B4D5A"/>
    <w:rsid w:val="002E7CB9"/>
    <w:rsid w:val="002F2B98"/>
    <w:rsid w:val="00325307"/>
    <w:rsid w:val="00347579"/>
    <w:rsid w:val="00364037"/>
    <w:rsid w:val="0043559F"/>
    <w:rsid w:val="005514DE"/>
    <w:rsid w:val="005578E2"/>
    <w:rsid w:val="00563911"/>
    <w:rsid w:val="005A22AF"/>
    <w:rsid w:val="00623D03"/>
    <w:rsid w:val="006B3A1F"/>
    <w:rsid w:val="006C53A5"/>
    <w:rsid w:val="00736392"/>
    <w:rsid w:val="00772FC2"/>
    <w:rsid w:val="008F2DF3"/>
    <w:rsid w:val="00992F09"/>
    <w:rsid w:val="00A041DF"/>
    <w:rsid w:val="00AF55D7"/>
    <w:rsid w:val="00B21636"/>
    <w:rsid w:val="00BC462D"/>
    <w:rsid w:val="00C90CAA"/>
    <w:rsid w:val="00D144A3"/>
    <w:rsid w:val="00D50A8D"/>
    <w:rsid w:val="00D624AA"/>
    <w:rsid w:val="00D651B5"/>
    <w:rsid w:val="00ED0938"/>
    <w:rsid w:val="00F02889"/>
    <w:rsid w:val="00F236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2905</Words>
  <Characters>16561</Characters>
  <Lines>138</Lines>
  <Paragraphs>38</Paragraphs>
  <TotalTime>12</TotalTime>
  <ScaleCrop>false</ScaleCrop>
  <LinksUpToDate>false</LinksUpToDate>
  <CharactersWithSpaces>19428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2022-05-10T12:04:00Z</dcterms:created>
  <dc:creator>Administrator</dc:creator>
  <cp:lastModifiedBy>Administrator</cp:lastModifiedBy>
  <cp:lastPrinted>2023-10-24T02:30:00Z</cp:lastPrinted>
  <dcterms:modified xsi:type="dcterms:W3CDTF">2024-01-04T08:08:54Z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4D83647A40A8442FAEF9AD3AFDBF216F_13</vt:lpwstr>
  </property>
</Properties>
</file>